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5"/>
        <w:jc w:val="left"/>
      </w:pPr>
      <w:r>
        <w:rPr>
          <w:b w:val="false"/>
          <w:bCs w:val="false"/>
        </w:rPr>
        <w:t xml:space="preserve">Client subscription order form</w:t>
      </w:r>
    </w:p>
    <w:p>
      <w:pPr>
        <w:spacing w:after="85"/>
        <w:jc w:val="both"/>
      </w:pPr>
      <w:r>
        <w:rPr>
          <w:b w:val="false"/>
          <w:bCs w:val="false"/>
        </w:rPr>
        <w:t xml:space="preserve">The Managers PLT | TheManager</w:t>
      </w:r>
    </w:p>
    <w:p>
      <w:pPr>
        <w:spacing w:after="85"/>
        <w:jc w:val="both"/>
      </w:pPr>
      <w:r>
        <w:rPr>
          <w:b w:val="false"/>
          <w:bCs w:val="false"/>
        </w:rPr>
        <w:t xml:space="preserve">LLP Registration No. 202604002475 (LLP0047719-LGN) | Cyber 10, 63000 Cyberjaya, Selangor, Malaysia</w:t>
      </w:r>
    </w:p>
    <w:p>
      <w:pPr>
        <w:spacing w:after="85"/>
        <w:jc w:val="both"/>
      </w:pPr>
      <w:r>
        <w:rPr>
          <w:b w:val="false"/>
          <w:bCs w:val="false"/>
        </w:rPr>
        <w:t xml:space="preserve">Template version: 15 October 2026. Complete every commercial field or mark it not applicable before acceptance. This uncompleted template is not an accepted order.</w:t>
      </w:r>
    </w:p>
    <w:p>
      <w:pPr>
        <w:pStyle w:val="Heading1"/>
        <w:spacing w:after="85"/>
        <w:jc w:val="left"/>
      </w:pPr>
      <w:r>
        <w:rPr>
          <w:b w:val="false"/>
          <w:bCs w:val="false"/>
        </w:rPr>
        <w:t xml:space="preserve">1. Parties and order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CellMar>
          <w:top w:type="dxa" w:w="65"/>
          <w:left w:type="dxa" w:w="100"/>
          <w:bottom w:type="dxa" w:w="65"/>
          <w:right w:type="dxa" w:w="100"/>
        </w:tblCellMar>
      </w:tblPr>
      <w:tblGrid>
        <w:gridCol w:w="2600"/>
        <w:gridCol w:w="7306"/>
      </w:tblGrid>
      <w:tr>
        <w:trPr>
          <w:cantSplit/>
          <w:tblHeader/>
        </w:trPr>
        <w:tc>
          <w:tcPr>
            <w:tcW w:type="dxa" w:w="2600"/>
            <w:tcBorders>
              <w:top w:val="single" w:color="D9DEE5" w:sz="4"/>
              <w:left w:val="single" w:color="D9DEE5" w:sz="4"/>
              <w:bottom w:val="single" w:color="D9DEE5" w:sz="4"/>
              <w:right w:val="single" w:color="D9DEE5" w:sz="4"/>
            </w:tcBorders>
            <w:shd w:fill="EDF1F5" w:val="clear"/>
          </w:tcPr>
          <w:p>
            <w:pPr>
              <w:spacing w:after="0"/>
            </w:pPr>
            <w:r>
              <w:rPr>
                <w:b/>
                <w:bCs/>
              </w:rPr>
              <w:t xml:space="preserve">Field</w:t>
            </w:r>
          </w:p>
        </w:tc>
        <w:tc>
          <w:tcPr>
            <w:tcW w:type="dxa" w:w="7306"/>
            <w:tcBorders>
              <w:top w:val="single" w:color="D9DEE5" w:sz="4"/>
              <w:left w:val="single" w:color="D9DEE5" w:sz="4"/>
              <w:bottom w:val="single" w:color="D9DEE5" w:sz="4"/>
              <w:right w:val="single" w:color="D9DEE5" w:sz="4"/>
            </w:tcBorders>
            <w:shd w:fill="EDF1F5" w:val="clear"/>
          </w:tcPr>
          <w:p>
            <w:pPr>
              <w:spacing w:after="0"/>
            </w:pPr>
            <w:r>
              <w:rPr>
                <w:b/>
                <w:bCs/>
              </w:rPr>
              <w:t xml:space="preserve">Agreed details</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Order reference / issue date / offer expiry</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[Reference] / [Date] / [Date and time zone]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Client legal name / registration number</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[Legal name] / [Registration number]</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Client registered address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[Full address]</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Client representative / role / email</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[Name] / [Role and authority] / [Email]</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Billing contact / notice email / address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[Name] / [Email for written overdue notices] / [Address]</w:t>
            </w:r>
          </w:p>
        </w:tc>
      </w:tr>
    </w:tbl>
    <w:p>
      <w:pPr>
        <w:spacing w:after="85"/>
        <w:jc w:val="both"/>
      </w:pPr>
      <w:r>
        <w:t xml:space="preserve"/>
      </w:r>
    </w:p>
    <w:p>
      <w:pPr>
        <w:pStyle w:val="Heading1"/>
        <w:spacing w:after="85"/>
        <w:jc w:val="left"/>
      </w:pPr>
      <w:r>
        <w:rPr>
          <w:b w:val="false"/>
          <w:bCs w:val="false"/>
        </w:rPr>
        <w:t xml:space="preserve">2. Package, price and term</w:t>
      </w:r>
    </w:p>
    <w:tbl>
      <w:tblPr>
        <w:tblW w:type="dxa" w:w="9906"/>
        <w:tblBorders>
          <w:top w:val="single" w:color="auto" w:sz="4"/>
          <w:left w:val="single" w:color="auto" w:sz="4"/>
          <w:bottom w:val="single" w:color="auto" w:sz="4"/>
          <w:right w:val="single" w:color="auto" w:sz="4"/>
          <w:insideH w:val="single" w:color="auto" w:sz="4"/>
          <w:insideV w:val="single" w:color="auto" w:sz="4"/>
        </w:tblBorders>
        <w:tblCellMar>
          <w:top w:type="dxa" w:w="65"/>
          <w:left w:type="dxa" w:w="100"/>
          <w:bottom w:type="dxa" w:w="65"/>
          <w:right w:type="dxa" w:w="100"/>
        </w:tblCellMar>
      </w:tblPr>
      <w:tblGrid>
        <w:gridCol w:w="2600"/>
        <w:gridCol w:w="7306"/>
      </w:tblGrid>
      <w:tr>
        <w:trPr>
          <w:cantSplit/>
          <w:tblHeader/>
        </w:trPr>
        <w:tc>
          <w:tcPr>
            <w:tcW w:type="dxa" w:w="2600"/>
            <w:tcBorders>
              <w:top w:val="single" w:color="D9DEE5" w:sz="4"/>
              <w:left w:val="single" w:color="D9DEE5" w:sz="4"/>
              <w:bottom w:val="single" w:color="D9DEE5" w:sz="4"/>
              <w:right w:val="single" w:color="D9DEE5" w:sz="4"/>
            </w:tcBorders>
            <w:shd w:fill="EDF1F5" w:val="clear"/>
          </w:tcPr>
          <w:p>
            <w:pPr>
              <w:spacing w:after="0"/>
            </w:pPr>
            <w:r>
              <w:rPr>
                <w:b/>
                <w:bCs/>
              </w:rPr>
              <w:t xml:space="preserve">Field</w:t>
            </w:r>
          </w:p>
        </w:tc>
        <w:tc>
          <w:tcPr>
            <w:tcW w:type="dxa" w:w="7306"/>
            <w:tcBorders>
              <w:top w:val="single" w:color="D9DEE5" w:sz="4"/>
              <w:left w:val="single" w:color="D9DEE5" w:sz="4"/>
              <w:bottom w:val="single" w:color="D9DEE5" w:sz="4"/>
              <w:right w:val="single" w:color="D9DEE5" w:sz="4"/>
            </w:tcBorders>
            <w:shd w:fill="EDF1F5" w:val="clear"/>
          </w:tcPr>
          <w:p>
            <w:pPr>
              <w:spacing w:after="0"/>
            </w:pPr>
            <w:r>
              <w:rPr>
                <w:b/>
                <w:bCs/>
              </w:rPr>
              <w:t xml:space="preserve">Agreed details</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Package / included modules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[Package name] / [List each included module]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Included limits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[Users] / [Companies] / [Storage] / [Other usage limits]</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Extra usage / add-on prices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[Unit prices, currency, measurement and approval method, or None]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Subscription dates / billing cycle</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[Start] to [End] / [Monthly, annual or other cycle]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Subscription fee / currency</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[Amount per billing cycle] / [Currency]</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Setup or other one-off fees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[Description and amount, or None]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Taxes / total payable</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[Inclusive or exclusive; applicable tax] / [Total and calculation]</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Invoice timing / payment deadline</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[When invoices are issued] / [Due-date rule and first due date]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Payment method / account details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[Approved method; payment instructions supplied separately]</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Renewal / cancellation</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[Manual or automatic renewal, duration, advance notice and cancellation channel]</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Support / scope / service levels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[Support arrangement; attached scope or service schedule references, or standard TOS only]</w:t>
            </w:r>
          </w:p>
        </w:tc>
      </w:tr>
    </w:tbl>
    <w:p>
      <w:pPr>
        <w:spacing w:after="85"/>
        <w:jc w:val="both"/>
      </w:pPr>
      <w:r>
        <w:t xml:space="preserve"/>
      </w:r>
    </w:p>
    <w:p>
      <w:pPr>
        <w:spacing w:after="85"/>
        <w:jc w:val="both"/>
      </w:pPr>
      <w:r>
        <w:rPr>
          <w:b w:val="false"/>
          <w:bCs w:val="false"/>
        </w:rPr>
        <w:t xml:space="preserve">The price and scope above are the agreed commercial terms. No custom development, migration deliverable or guaranteed service level is included unless identified in an attached, accepted schedule. Refunds and termination are governed by the incorporated TOS, subject to any express variation below and applicable law.</w:t>
      </w:r>
    </w:p>
    <w:p>
      <w:pPr>
        <w:pStyle w:val="Heading1"/>
        <w:pageBreakBefore/>
        <w:spacing w:after="85"/>
        <w:jc w:val="left"/>
      </w:pPr>
      <w:r>
        <w:rPr>
          <w:b w:val="false"/>
          <w:bCs w:val="false"/>
        </w:rPr>
        <w:t xml:space="preserve">3. Payment protection and incorporated documents</w:t>
      </w:r>
    </w:p>
    <w:p>
      <w:pPr>
        <w:spacing w:after="85"/>
        <w:jc w:val="both"/>
      </w:pPr>
      <w:r>
        <w:rPr>
          <w:b w:val="false"/>
          <w:bCs w:val="false"/>
        </w:rPr>
        <w:t xml:space="preserve">Late-payment charges are 5% per annum, calculated daily without compounding on outstanding invoice principal, beginning the day after seven calendar days have elapsed following receipt of the written overdue notice. Formula: outstanding principal × 0.05 × chargeable days ÷ 365. Partial payments reduce subsequent calculations. No charge accrues on earlier late charges, legal fees or collection costs. A lower agreed rate or waiver must be recorded below. Section 04 of the TOS controls the complete conditions and legal limits.</w:t>
      </w:r>
    </w:p>
    <w:p>
      <w:pPr>
        <w:spacing w:after="85"/>
        <w:jc w:val="both"/>
      </w:pPr>
      <w:r>
        <w:rPr>
          <w:b w:val="false"/>
          <w:bCs w:val="false"/>
        </w:rPr>
        <w:t xml:space="preserve">TheManager may suspend for non-payment only after that same notice period expires. Reasonable, documented recovery costs actually and properly incurred, including recoverable solicitors' fees and court expenses, may be claimed subject to applicable law, court rules and orders, without double recovery. These obligations survive termination as stated in the TOS.</w:t>
      </w:r>
    </w:p>
    <w:tbl>
      <w:tblPr>
        <w:tblW w:type="dxa" w:w="9906"/>
        <w:tblBorders>
          <w:top w:val="single" w:color="auto" w:sz="4"/>
          <w:left w:val="single" w:color="auto" w:sz="4"/>
          <w:bottom w:val="single" w:color="auto" w:sz="4"/>
          <w:right w:val="single" w:color="auto" w:sz="4"/>
          <w:insideH w:val="single" w:color="auto" w:sz="4"/>
          <w:insideV w:val="single" w:color="auto" w:sz="4"/>
        </w:tblBorders>
        <w:tblCellMar>
          <w:top w:type="dxa" w:w="65"/>
          <w:left w:type="dxa" w:w="100"/>
          <w:bottom w:type="dxa" w:w="65"/>
          <w:right w:type="dxa" w:w="100"/>
        </w:tblCellMar>
      </w:tblPr>
      <w:tblGrid>
        <w:gridCol w:w="2600"/>
        <w:gridCol w:w="7306"/>
      </w:tblGrid>
      <w:tr>
        <w:trPr>
          <w:cantSplit/>
          <w:tblHeader/>
        </w:trPr>
        <w:tc>
          <w:tcPr>
            <w:tcW w:type="dxa" w:w="2600"/>
            <w:tcBorders>
              <w:top w:val="single" w:color="D9DEE5" w:sz="4"/>
              <w:left w:val="single" w:color="D9DEE5" w:sz="4"/>
              <w:bottom w:val="single" w:color="D9DEE5" w:sz="4"/>
              <w:right w:val="single" w:color="D9DEE5" w:sz="4"/>
            </w:tcBorders>
            <w:shd w:fill="EDF1F5" w:val="clear"/>
          </w:tcPr>
          <w:p>
            <w:pPr>
              <w:spacing w:after="0"/>
            </w:pPr>
            <w:r>
              <w:rPr>
                <w:b/>
                <w:bCs/>
              </w:rPr>
              <w:t xml:space="preserve">Incorporated document</w:t>
            </w:r>
          </w:p>
        </w:tc>
        <w:tc>
          <w:tcPr>
            <w:tcW w:type="dxa" w:w="7306"/>
            <w:tcBorders>
              <w:top w:val="single" w:color="D9DEE5" w:sz="4"/>
              <w:left w:val="single" w:color="D9DEE5" w:sz="4"/>
              <w:bottom w:val="single" w:color="D9DEE5" w:sz="4"/>
              <w:right w:val="single" w:color="D9DEE5" w:sz="4"/>
            </w:tcBorders>
            <w:shd w:fill="EDF1F5" w:val="clear"/>
          </w:tcPr>
          <w:p>
            <w:pPr>
              <w:spacing w:after="0"/>
            </w:pPr>
            <w:r>
              <w:rPr>
                <w:b/>
                <w:bCs/>
              </w:rPr>
              <w:t xml:space="preserve">Version supplied before acceptance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Terms of Service (TOS), Appendix A</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Last reviewed 15 October 2026; exact copy included in this package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Privacy Policy, Appendix B</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Last updated 15 October 2026; exact copy included in this package</w:t>
            </w:r>
          </w:p>
        </w:tc>
      </w:tr>
      <w:tr>
        <w:trPr>
          <w:cantSplit/>
          <w:tblHeader w:val="false"/>
        </w:trPr>
        <w:tc>
          <w:tcPr>
            <w:tcW w:type="dxa" w:w="2600"/>
            <w:tcBorders>
              <w:top w:val="single" w:color="D9DEE5" w:sz="4"/>
              <w:left w:val="single" w:color="D9DEE5" w:sz="4"/>
              <w:bottom w:val="single" w:color="D9DEE5" w:sz="4"/>
              <w:right w:val="single" w:color="D9DEE5" w:sz="4"/>
            </w:tcBorders>
          </w:tcPr>
          <w:p>
            <w:pPr>
              <w:spacing w:after="0"/>
            </w:pPr>
            <w:r>
              <w:rPr>
                <w:b w:val="false"/>
                <w:bCs w:val="false"/>
              </w:rPr>
              <w:t xml:space="preserve">Other schedules</w:t>
            </w:r>
          </w:p>
        </w:tc>
        <w:tc>
          <w:tcPr>
            <w:tcW w:type="dxa" w:w="7306"/>
            <w:tcBorders>
              <w:top w:val="single" w:color="D9DEE5" w:sz="4"/>
              <w:left w:val="single" w:color="D9DEE5" w:sz="4"/>
              <w:bottom w:val="single" w:color="D9DEE5" w:sz="4"/>
              <w:right w:val="single" w:color="D9DEE5" w:sz="4"/>
            </w:tcBorders>
          </w:tcPr>
          <w:p>
            <w:pPr>
              <w:spacing w:after="0"/>
            </w:pPr>
            <w:r>
              <w:rPr>
                <w:b w:val="false"/>
                <w:bCs w:val="false"/>
              </w:rPr>
              <w:t xml:space="preserve">[Title, version/date and attachment reference, or None]</w:t>
            </w:r>
          </w:p>
        </w:tc>
      </w:tr>
    </w:tbl>
    <w:p>
      <w:pPr>
        <w:spacing w:after="85"/>
        <w:jc w:val="both"/>
      </w:pPr>
      <w:r>
        <w:t xml:space="preserve"/>
      </w:r>
    </w:p>
    <w:p>
      <w:pPr>
        <w:spacing w:after="85"/>
        <w:jc w:val="both"/>
      </w:pPr>
      <w:r>
        <w:rPr>
          <w:b w:val="false"/>
          <w:bCs w:val="false"/>
        </w:rPr>
        <w:t xml:space="preserve">Mandatory law takes priority. An expressly agreed special term below overrides the TOS only for the provision it identifies and replaces. This order supplies the commercial details; an attached scope or service schedule governs its stated subject only. The TOS governs the remaining contract conditions. The Privacy Policy governs personal-data handling and creates no separate payment obligations. Purchase orders or invoices do not change the agreement without both parties' express written acceptance. Later changes follow TOS Section 16; this template does not retrospectively impose charges on existing arrears.</w:t>
      </w:r>
    </w:p>
    <w:p>
      <w:pPr>
        <w:spacing w:after="85"/>
        <w:jc w:val="both"/>
      </w:pPr>
      <w:r>
        <w:rPr>
          <w:b w:val="false"/>
          <w:bCs w:val="false"/>
        </w:rPr>
        <w:t xml:space="preserve">Special terms: [None, or list each affected TOS section, agreed replacement, any lower late-payment rate/waiver, and any additional schedule priorities.]</w:t>
      </w:r>
    </w:p>
    <w:p>
      <w:pPr>
        <w:pStyle w:val="Heading1"/>
        <w:spacing w:after="85"/>
        <w:jc w:val="left"/>
      </w:pPr>
      <w:r>
        <w:rPr>
          <w:b w:val="false"/>
          <w:bCs w:val="false"/>
        </w:rPr>
        <w:t xml:space="preserve">4. Acceptance</w:t>
      </w:r>
    </w:p>
    <w:p>
      <w:pPr>
        <w:spacing w:after="85"/>
        <w:jc w:val="both"/>
      </w:pPr>
      <w:r>
        <w:rPr>
          <w:b w:val="false"/>
          <w:bCs w:val="false"/>
        </w:rPr>
        <w:t xml:space="preserve">By signing below or expressly accepting this identified order electronically, each representative confirms authority to bind their organization. The Client confirms that the completed order and the exact TOS, Privacy Policy and schedules identified above were supplied and accessible before acceptance, and agrees to the order, incorporated TOS and agreed schedules, including the payment and recovery provisions. The Client acknowledges the Privacy Policy. Both parties agree to electronic acceptance and contractual notices through the designated channels, subject to mandatory service requirements.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CellMar>
          <w:top w:type="dxa" w:w="65"/>
          <w:left w:type="dxa" w:w="100"/>
          <w:bottom w:type="dxa" w:w="65"/>
          <w:right w:type="dxa" w:w="100"/>
        </w:tblCellMar>
      </w:tblPr>
      <w:tblGrid>
        <w:gridCol w:w="2700"/>
        <w:gridCol w:w="3603"/>
        <w:gridCol w:w="3603"/>
      </w:tblGrid>
      <w:tr>
        <w:trPr>
          <w:cantSplit/>
          <w:tblHeader/>
        </w:trPr>
        <w:tc>
          <w:tcPr>
            <w:tcW w:type="dxa" w:w="2700"/>
            <w:tcBorders>
              <w:top w:val="single" w:color="D9DEE5" w:sz="4"/>
              <w:left w:val="single" w:color="D9DEE5" w:sz="4"/>
              <w:bottom w:val="single" w:color="D9DEE5" w:sz="4"/>
              <w:right w:val="single" w:color="D9DEE5" w:sz="4"/>
            </w:tcBorders>
            <w:shd w:fill="EDF1F5" w:val="clear"/>
          </w:tcPr>
          <w:p>
            <w:pPr>
              <w:spacing w:after="0"/>
            </w:pPr>
            <w:r>
              <w:rPr>
                <w:b/>
                <w:bCs/>
              </w:rPr>
              <w:t xml:space="preserve">Acceptance record</w:t>
            </w:r>
          </w:p>
        </w:tc>
        <w:tc>
          <w:tcPr>
            <w:tcW w:type="dxa" w:w="3603"/>
            <w:tcBorders>
              <w:top w:val="single" w:color="D9DEE5" w:sz="4"/>
              <w:left w:val="single" w:color="D9DEE5" w:sz="4"/>
              <w:bottom w:val="single" w:color="D9DEE5" w:sz="4"/>
              <w:right w:val="single" w:color="D9DEE5" w:sz="4"/>
            </w:tcBorders>
            <w:shd w:fill="EDF1F5" w:val="clear"/>
          </w:tcPr>
          <w:p>
            <w:pPr>
              <w:spacing w:after="0"/>
            </w:pPr>
            <w:r>
              <w:rPr>
                <w:b/>
                <w:bCs/>
              </w:rPr>
              <w:t xml:space="preserve">Client</w:t>
            </w:r>
          </w:p>
        </w:tc>
        <w:tc>
          <w:tcPr>
            <w:tcW w:type="dxa" w:w="3603"/>
            <w:tcBorders>
              <w:top w:val="single" w:color="D9DEE5" w:sz="4"/>
              <w:left w:val="single" w:color="D9DEE5" w:sz="4"/>
              <w:bottom w:val="single" w:color="D9DEE5" w:sz="4"/>
              <w:right w:val="single" w:color="D9DEE5" w:sz="4"/>
            </w:tcBorders>
            <w:shd w:fill="EDF1F5" w:val="clear"/>
          </w:tcPr>
          <w:p>
            <w:pPr>
              <w:spacing w:after="0"/>
            </w:pPr>
            <w:r>
              <w:rPr>
                <w:b/>
                <w:bCs/>
              </w:rPr>
              <w:t xml:space="preserve">The Managers PLT</w:t>
            </w:r>
          </w:p>
        </w:tc>
      </w:tr>
      <w:tr>
        <w:trPr>
          <w:cantSplit/>
          <w:tblHeader w:val="false"/>
        </w:trPr>
        <w:tc>
          <w:tcPr>
            <w:tcW w:type="dxa" w:w="2700"/>
            <w:tcBorders>
              <w:top w:val="single" w:color="D9DEE5" w:sz="4"/>
              <w:left w:val="single" w:color="D9DEE5" w:sz="4"/>
              <w:bottom w:val="single" w:color="D9DEE5" w:sz="4"/>
              <w:right w:val="single" w:color="D9DEE5" w:sz="4"/>
            </w:tcBorders>
          </w:tcPr>
          <w:p>
            <w:pPr>
              <w:spacing w:after="0"/>
            </w:pPr>
            <w:r>
              <w:rPr>
                <w:b w:val="false"/>
                <w:bCs w:val="false"/>
              </w:rPr>
              <w:t xml:space="preserve">Authorized representative / title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[Name and title]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[Name and title]</w:t>
            </w:r>
          </w:p>
        </w:tc>
      </w:tr>
      <w:tr>
        <w:trPr>
          <w:cantSplit/>
          <w:tblHeader w:val="false"/>
        </w:trPr>
        <w:tc>
          <w:tcPr>
            <w:tcW w:type="dxa" w:w="2700"/>
            <w:tcBorders>
              <w:top w:val="single" w:color="D9DEE5" w:sz="4"/>
              <w:left w:val="single" w:color="D9DEE5" w:sz="4"/>
              <w:bottom w:val="single" w:color="D9DEE5" w:sz="4"/>
              <w:right w:val="single" w:color="D9DEE5" w:sz="4"/>
            </w:tcBorders>
          </w:tcPr>
          <w:p>
            <w:pPr>
              <w:spacing w:after="0"/>
            </w:pPr>
            <w:r>
              <w:rPr>
                <w:b w:val="false"/>
                <w:bCs w:val="false"/>
              </w:rPr>
              <w:t xml:space="preserve">Signature or explicit electronic acceptance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[Signature or acceptance reference]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[Signature or acceptance reference]</w:t>
            </w:r>
          </w:p>
        </w:tc>
      </w:tr>
      <w:tr>
        <w:trPr>
          <w:cantSplit/>
          <w:tblHeader w:val="false"/>
        </w:trPr>
        <w:tc>
          <w:tcPr>
            <w:tcW w:type="dxa" w:w="2700"/>
            <w:tcBorders>
              <w:top w:val="single" w:color="D9DEE5" w:sz="4"/>
              <w:left w:val="single" w:color="D9DEE5" w:sz="4"/>
              <w:bottom w:val="single" w:color="D9DEE5" w:sz="4"/>
              <w:right w:val="single" w:color="D9DEE5" w:sz="4"/>
            </w:tcBorders>
          </w:tcPr>
          <w:p>
            <w:pPr>
              <w:spacing w:after="0"/>
            </w:pPr>
            <w:r>
              <w:rPr>
                <w:b w:val="false"/>
                <w:bCs w:val="false"/>
              </w:rPr>
              <w:t xml:space="preserve">Date / time / time zone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[Date and time]</w:t>
            </w:r>
          </w:p>
        </w:tc>
        <w:tc>
          <w:tcPr>
            <w:tcW w:type="dxa" w:w="3603"/>
            <w:tcBorders>
              <w:top w:val="single" w:color="D9DEE5" w:sz="4"/>
              <w:left w:val="single" w:color="D9DEE5" w:sz="4"/>
              <w:bottom w:val="single" w:color="D9DEE5" w:sz="4"/>
              <w:right w:val="single" w:color="D9DEE5" w:sz="4"/>
            </w:tcBorders>
          </w:tcPr>
          <w:p>
            <w:pPr>
              <w:spacing w:after="0"/>
            </w:pPr>
            <w:r>
              <w:rPr>
                <w:b w:val="false"/>
                <w:bCs w:val="false"/>
              </w:rPr>
              <w:t xml:space="preserve">[Date and time]</w:t>
            </w:r>
          </w:p>
        </w:tc>
      </w:tr>
    </w:tbl>
    <w:p>
      <w:pPr>
        <w:spacing w:after="85"/>
        <w:jc w:val="both"/>
      </w:pPr>
      <w:r>
        <w:t xml:space="preserve"/>
      </w:r>
    </w:p>
    <w:p>
      <w:pPr>
        <w:spacing w:after="85"/>
        <w:jc w:val="both"/>
      </w:pPr>
      <w:r>
        <w:rPr>
          <w:b w:val="false"/>
          <w:bCs w:val="false"/>
        </w:rPr>
        <w:t xml:space="preserve">Each party receives a completed copy with Appendices A and B and all agreed schedules. For electronic acceptance, retain the exact order and attachments, sender/recipient identity, timestamp and acceptance evidence. Do not issue this order with unresolved placeholders.</w:t>
      </w:r>
    </w:p>
    <w:p>
      <w:pPr>
        <w:pStyle w:val="Title"/>
        <w:pageBreakBefore/>
        <w:spacing w:after="85"/>
        <w:jc w:val="left"/>
      </w:pPr>
      <w:r>
        <w:rPr>
          <w:b w:val="false"/>
          <w:bCs w:val="false"/>
        </w:rPr>
        <w:t xml:space="preserve">Appendix A — Terms of Service</w:t>
      </w:r>
    </w:p>
    <w:p>
      <w:pPr>
        <w:spacing w:after="85"/>
        <w:jc w:val="both"/>
      </w:pPr>
      <w:r>
        <w:rPr>
          <w:b w:val="false"/>
          <w:bCs w:val="false"/>
        </w:rPr>
        <w:t xml:space="preserve">Original effective date: 1 January 2026 | Last reviewed: 15 October 2026</w:t>
      </w:r>
    </w:p>
    <w:p>
      <w:pPr>
        <w:pStyle w:val="Heading1"/>
        <w:spacing w:after="85"/>
        <w:jc w:val="left"/>
      </w:pPr>
      <w:r>
        <w:rPr>
          <w:b w:val="false"/>
          <w:bCs w:val="false"/>
        </w:rPr>
        <w:t xml:space="preserve">01 — Who these Terms bind.</w:t>
      </w:r>
    </w:p>
    <w:p>
      <w:pPr>
        <w:spacing w:after="85"/>
        <w:jc w:val="both"/>
      </w:pPr>
      <w:r>
        <w:rPr>
          <w:b w:val="false"/>
          <w:bCs w:val="false"/>
        </w:rPr>
        <w:t xml:space="preserve">These Terms are entered into between you (either an individual or the legal organization you represent, “Customer”, “you”) and The Managers PLT (LLP Registration No. 202604002475 (LLP0047719-LGN)), a limited liability partnership registered under the Limited Liability Partnerships Act 2012 in Malaysia, with its registered office or principal place of business at Cyber 10, 63000 Cyberjaya, Selangor, Malaysia (“TheManager”, “we”, “us”).</w:t>
      </w:r>
    </w:p>
    <w:p>
      <w:pPr>
        <w:spacing w:after="85"/>
        <w:jc w:val="both"/>
      </w:pPr>
      <w:r>
        <w:rPr>
          <w:b w:val="false"/>
          <w:bCs w:val="false"/>
        </w:rPr>
        <w:t xml:space="preserve">By clicking “I agree”, creating an account, or otherwise accessing or using the platform, you accept these Terms on behalf of yourself and, if applicable, the organization you represent, and confirm you have authority to bind that organization. If you do not agree, do not use the service.</w:t>
      </w:r>
    </w:p>
    <w:p>
      <w:pPr>
        <w:spacing w:after="85"/>
        <w:jc w:val="both"/>
      </w:pPr>
      <w:r>
        <w:rPr>
          <w:b w:val="false"/>
          <w:bCs w:val="false"/>
        </w:rPr>
        <w:t xml:space="preserve">These Terms may be accepted electronically in accordance with the Electronic Commerce Act 2006 and the Contracts Act 1950, subject to their applicable requirements.</w:t>
      </w:r>
    </w:p>
    <w:p>
      <w:pPr>
        <w:spacing w:after="85"/>
        <w:jc w:val="both"/>
      </w:pPr>
      <w:r>
        <w:rPr>
          <w:b w:val="false"/>
          <w:bCs w:val="false"/>
        </w:rPr>
        <w:t xml:space="preserve">Your subscription agreement: these Terms provide the standard contract conditions. Your accepted order form, quotation expressly incorporating these Terms, or recorded online package selection supplies the client-specific commercial details, including the contracting organization, modules, limits, price, taxes, subscription dates, billing cycle, payment deadline, and renewal or cancellation arrangements. These documents together form your subscription agreement; a separate master agreement is not required for a standard subscription unless the parties agree otherwise.</w:t>
      </w:r>
    </w:p>
    <w:p>
      <w:pPr>
        <w:spacing w:after="85"/>
        <w:jc w:val="both"/>
      </w:pPr>
      <w:r>
        <w:rPr>
          <w:b w:val="false"/>
          <w:bCs w:val="false"/>
        </w:rPr>
        <w:t xml:space="preserve">Before acceptance, we will make the applicable Terms and Privacy Policy accessible and identify their dated versions in the order form or acceptance record. The parties should retain the completed order, the exact documents supplied, the accepting representative's name and authority, and the date and method of acceptance. An invoice alone does not introduce additional contractual obligations after acceptance.</w:t>
      </w:r>
    </w:p>
    <w:p>
      <w:pPr>
        <w:spacing w:after="85"/>
        <w:jc w:val="both"/>
      </w:pPr>
      <w:r>
        <w:rPr>
          <w:b w:val="false"/>
          <w:bCs w:val="false"/>
        </w:rPr>
        <w:t xml:space="preserve">You can use our editable client subscription package (Word) , which includes an order form and dated copies of these Terms and the Privacy Policy. Complete the commercial details and obtain acceptance before activating the agreed package.</w:t>
      </w:r>
    </w:p>
    <w:p>
      <w:pPr>
        <w:pStyle w:val="Heading1"/>
        <w:spacing w:after="85"/>
        <w:jc w:val="left"/>
      </w:pPr>
      <w:r>
        <w:rPr>
          <w:b w:val="false"/>
          <w:bCs w:val="false"/>
        </w:rPr>
        <w:t xml:space="preserve">02 — What TheManager provides.</w:t>
      </w:r>
    </w:p>
    <w:p>
      <w:pPr>
        <w:spacing w:after="85"/>
        <w:jc w:val="both"/>
      </w:pPr>
      <w:r>
        <w:rPr>
          <w:b w:val="false"/>
          <w:bCs w:val="false"/>
        </w:rPr>
        <w:t xml:space="preserve">TheManager is a modular enterprise operating system. Depending on the modules your organization activates, the service may include Human Resources, Finance, Procurement, Cooperative Management, Cooperative Financing, Gold &amp; Silver Savings, Ar-Rahnu, Asset Management, Budgeting, Energy Management, E-Commerce, Travel &amp; Tourism, Kitchen Management, the Payslip Verifier Portal, and Managers AI (MAi), each governed by these Terms and any module-specific terms we provide.</w:t>
      </w:r>
    </w:p>
    <w:p>
      <w:pPr>
        <w:spacing w:after="85"/>
        <w:jc w:val="both"/>
      </w:pPr>
      <w:r>
        <w:rPr>
          <w:b w:val="false"/>
          <w:bCs w:val="false"/>
        </w:rPr>
        <w:t xml:space="preserve">We may add, change, or discontinue features of the service from time to time. We will provide reasonable advance notice of material changes that substantially reduce functionality you are actively subscribed to.</w:t>
      </w:r>
    </w:p>
    <w:p>
      <w:pPr>
        <w:pStyle w:val="Heading1"/>
        <w:spacing w:after="85"/>
        <w:jc w:val="left"/>
      </w:pPr>
      <w:r>
        <w:rPr>
          <w:b w:val="false"/>
          <w:bCs w:val="false"/>
        </w:rPr>
        <w:t xml:space="preserve">03 — Registration &amp; responsibility.</w:t>
      </w:r>
    </w:p>
    <w:p>
      <w:pPr>
        <w:spacing w:after="85"/>
        <w:jc w:val="both"/>
      </w:pPr>
      <w:r>
        <w:rPr>
          <w:b w:val="false"/>
          <w:bCs w:val="false"/>
        </w:rPr>
        <w:t xml:space="preserve">You must provide accurate registration information and keep it up to date. You are responsible for maintaining the confidentiality of your login credentials, including any passkey or biometric authentication registered to your account, and for all activity that occurs under your account. You must notify us immediately of any unauthorized use.</w:t>
      </w:r>
    </w:p>
    <w:p>
      <w:pPr>
        <w:spacing w:after="85"/>
        <w:jc w:val="both"/>
      </w:pPr>
      <w:r>
        <w:rPr>
          <w:b w:val="false"/>
          <w:bCs w:val="false"/>
        </w:rPr>
        <w:t xml:space="preserve">Organizations using the platform may designate administrators with elevated access (company admins, organization-wide super admins). The organization is solely responsible for its own internal access management, authorization hierarchies, and the actions of users it grants access to.</w:t>
      </w:r>
    </w:p>
    <w:p>
      <w:pPr>
        <w:pStyle w:val="Heading1"/>
        <w:spacing w:after="85"/>
        <w:jc w:val="left"/>
      </w:pPr>
      <w:r>
        <w:rPr>
          <w:b w:val="false"/>
          <w:bCs w:val="false"/>
        </w:rPr>
        <w:t xml:space="preserve">04 — Subscriptions &amp; payment.</w:t>
      </w:r>
    </w:p>
    <w:p>
      <w:pPr>
        <w:spacing w:after="85"/>
        <w:jc w:val="both"/>
      </w:pPr>
      <w:r>
        <w:rPr>
          <w:b w:val="false"/>
          <w:bCs w:val="false"/>
        </w:rPr>
        <w:t xml:space="preserve">Access to modules is provided under a subscription package selected at signup or configured for your organization, which determines your user limits, company limits, and included modules. Fees are billed on a recurring basis as set out in your package, plus applicable usage-based add-ons (including additional storage, billed per gigabyte, and additional activated modules).</w:t>
      </w:r>
    </w:p>
    <w:p>
      <w:pPr>
        <w:spacing w:after="85"/>
        <w:jc w:val="both"/>
      </w:pPr>
      <w:r>
        <w:rPr>
          <w:b w:val="false"/>
          <w:bCs w:val="false"/>
        </w:rPr>
        <w:t xml:space="preserve">We support payment via Stripe, Billplz, ToyyibPay, and Touch 'n Go, or such other methods as we make available. Invoices are issued in accordance with Malaysian e-Invoice (MyInvois) requirements where applicable.</w:t>
      </w:r>
    </w:p>
    <w:p>
      <w:pPr>
        <w:spacing w:after="85"/>
        <w:jc w:val="both"/>
      </w:pPr>
      <w:r>
        <w:rPr>
          <w:b w:val="false"/>
          <w:bCs w:val="false"/>
        </w:rPr>
        <w:t xml:space="preserve">All fees are non-refundable except as required by law or as expressly agreed by us in writing. Invoices are payable by the due date stated on the invoice. Any amount remaining unpaid after that date is overdue.</w:t>
      </w:r>
    </w:p>
    <w:p>
      <w:pPr>
        <w:spacing w:after="85"/>
        <w:jc w:val="both"/>
      </w:pPr>
      <w:r>
        <w:rPr>
          <w:b w:val="false"/>
          <w:bCs w:val="false"/>
        </w:rPr>
        <w:t xml:space="preserve">Late-payment charges: if an overdue invoice remains unpaid after the seven (7) calendar-day written notice period described below has elapsed, we may impose a late-payment charge at five per cent (5%) per annum on the outstanding invoice principal, unless a lower rate or waiver is expressly agreed in your subscription package or order form. The charge accrues from the day after that notice period expires until the principal is paid, calculated daily as outstanding invoice principal × 0.05 × chargeable days ÷ 365 (using the lower annual rate where agreed). Partial payments reduce the principal used for subsequent daily calculations. Charges are simple and do not compound; no late-payment charge accrues on earlier late-payment charges, legal fees, or collection costs. The charge is intended as reasonable compensation for late payment, is subject to any lower limit imposed by applicable Malaysian law, and remains subject to adjustment by a competent court. We will not retrospectively introduce or increase a charge for an existing overdue balance without your express agreement.</w:t>
      </w:r>
    </w:p>
    <w:p>
      <w:pPr>
        <w:spacing w:after="85"/>
        <w:jc w:val="both"/>
      </w:pPr>
      <w:r>
        <w:rPr>
          <w:b w:val="false"/>
          <w:bCs w:val="false"/>
        </w:rPr>
        <w:t xml:space="preserve">Recovery costs &amp; legal fees: if an amount is overdue, you agree to reimburse The Managers PLT for reasonable, documented costs actually and properly incurred in recovering that amount, including debt-collection costs, solicitors' fees on a solicitor-and-client basis to the extent recoverable by law, court filing fees, and related disbursements. Any litigation costs remain subject to applicable law, court rules, assessment, and court orders. We will not recover the same cost twice or charge costs attributable to our own error or an unfounded claim. Recovery proceedings remain subject to the dispute-resolution procedure in Section 15. Formal notices and legal documents must be served in accordance with any applicable statutory or court requirements.</w:t>
      </w:r>
    </w:p>
    <w:p>
      <w:pPr>
        <w:spacing w:after="85"/>
        <w:jc w:val="both"/>
      </w:pPr>
      <w:r>
        <w:rPr>
          <w:b w:val="false"/>
          <w:bCs w:val="false"/>
        </w:rPr>
        <w:t xml:space="preserve">Overdue notice &amp; suspension: we may suspend or restrict access under Section 09 only if an overdue amount remains unpaid after seven (7) calendar days have elapsed following your receipt of a written overdue-payment notice. The notice will identify the outstanding invoice, amount due, payment deadline, and possible suspension, and will be delivered to your designated billing contact by email or another agreed written channel. This same notice period governs payment-related suspension and the start of late-payment charges; charges do not accrue during the notice period.</w:t>
      </w:r>
    </w:p>
    <w:p>
      <w:pPr>
        <w:spacing w:after="85"/>
        <w:jc w:val="both"/>
      </w:pPr>
      <w:r>
        <w:rPr>
          <w:b w:val="false"/>
          <w:bCs w:val="false"/>
        </w:rPr>
        <w:t xml:space="preserve">Outstanding obligations: suspension or termination does not waive amounts already due, lawful late-payment charges, or recoverable legal and collection costs under this Section. These payment and recovery obligations survive termination.</w:t>
      </w:r>
    </w:p>
    <w:p>
      <w:pPr>
        <w:pStyle w:val="Heading1"/>
        <w:spacing w:after="85"/>
        <w:jc w:val="left"/>
      </w:pPr>
      <w:r>
        <w:rPr>
          <w:b w:val="false"/>
          <w:bCs w:val="false"/>
        </w:rPr>
        <w:t xml:space="preserve">05 — Ownership &amp; our use of it.</w:t>
      </w:r>
    </w:p>
    <w:p>
      <w:pPr>
        <w:spacing w:after="85"/>
        <w:jc w:val="both"/>
      </w:pPr>
      <w:r>
        <w:rPr>
          <w:b w:val="false"/>
          <w:bCs w:val="false"/>
        </w:rPr>
        <w:t xml:space="preserve">As between you and TheManager, you and your organization retain all ownership rights in the data, text, files, and content you or your users submit, upload, or generate through the service (“Customer Data”). You grant The Managers PLT a worldwide, limited, non-exclusive right to host, store, process, transmit, and display Customer Data solely as necessary to provide, maintain, and support the service, in accordance with our </w:t>
      </w:r>
      <w:hyperlink w:history="1" r:id="rIdir0jd6emzyja88lyj3cfi">
        <w:r>
          <w:rPr>
            <w:rStyle w:val="Hyperlink"/>
          </w:rPr>
          <w:t xml:space="preserve">Privacy Policy</w:t>
        </w:r>
      </w:hyperlink>
      <w:r>
        <w:rPr>
          <w:b w:val="false"/>
          <w:bCs w:val="false"/>
        </w:rPr>
        <w:t xml:space="preserve">.</w:t>
      </w:r>
    </w:p>
    <w:p>
      <w:pPr>
        <w:spacing w:after="85"/>
        <w:jc w:val="both"/>
      </w:pPr>
      <w:r>
        <w:rPr>
          <w:b w:val="false"/>
          <w:bCs w:val="false"/>
        </w:rPr>
        <w:t xml:space="preserve">Where a module involves processing Customer Data through third-party infrastructure or models (for example, AI-assisted document extraction), we do so strictly to deliver the requested functionality. Customer Data submitted to Managers AI (MAi) is not used to train generalized foundation models for other customers.</w:t>
      </w:r>
    </w:p>
    <w:p>
      <w:pPr>
        <w:pStyle w:val="Heading1"/>
        <w:spacing w:after="85"/>
        <w:jc w:val="left"/>
      </w:pPr>
      <w:r>
        <w:rPr>
          <w:b w:val="false"/>
          <w:bCs w:val="false"/>
        </w:rPr>
        <w:t xml:space="preserve">06 — What we own.</w:t>
      </w:r>
    </w:p>
    <w:p>
      <w:pPr>
        <w:spacing w:after="85"/>
        <w:jc w:val="both"/>
      </w:pPr>
      <w:r>
        <w:rPr>
          <w:b w:val="false"/>
          <w:bCs w:val="false"/>
        </w:rPr>
        <w:t xml:space="preserve">The platform, including its software, source code, user interfaces, module architecture, Managers AI capabilities, documentation, logos, and all associated intellectual property rights, is owned exclusively by The Managers PLT or our licensors.</w:t>
      </w:r>
    </w:p>
    <w:p>
      <w:pPr>
        <w:spacing w:after="85"/>
        <w:jc w:val="both"/>
      </w:pPr>
      <w:r>
        <w:rPr>
          <w:b w:val="false"/>
          <w:bCs w:val="false"/>
        </w:rPr>
        <w:t xml:space="preserve">These Terms grant you a limited, non-exclusive, non-transferable, non-sublicensable right to access and use the service solely for your internal business purposes during your active subscription term. You may not:</w:t>
      </w:r>
    </w:p>
    <w:p>
      <w:pPr>
        <w:pStyle w:val="ListParagraph"/>
        <w:numPr>
          <w:ilvl w:val="0"/>
          <w:numId w:val="2"/>
        </w:numPr>
        <w:spacing w:after="85"/>
        <w:jc w:val="both"/>
      </w:pPr>
      <w:r>
        <w:rPr>
          <w:b w:val="false"/>
          <w:bCs w:val="false"/>
        </w:rPr>
        <w:t xml:space="preserve">Copy, modify, duplicate, or create derivative works of the platform;</w:t>
      </w:r>
    </w:p>
    <w:p>
      <w:pPr>
        <w:pStyle w:val="ListParagraph"/>
        <w:numPr>
          <w:ilvl w:val="0"/>
          <w:numId w:val="2"/>
        </w:numPr>
        <w:spacing w:after="85"/>
        <w:jc w:val="both"/>
      </w:pPr>
      <w:r>
        <w:rPr>
          <w:b w:val="false"/>
          <w:bCs w:val="false"/>
        </w:rPr>
        <w:t xml:space="preserve">Reverse-engineer, decompile, or attempt to extract source code or underlying schemas from the service except where strictly permitted by applicable law;</w:t>
      </w:r>
    </w:p>
    <w:p>
      <w:pPr>
        <w:pStyle w:val="ListParagraph"/>
        <w:numPr>
          <w:ilvl w:val="0"/>
          <w:numId w:val="2"/>
        </w:numPr>
        <w:spacing w:after="85"/>
        <w:jc w:val="both"/>
      </w:pPr>
      <w:r>
        <w:rPr>
          <w:b w:val="false"/>
          <w:bCs w:val="false"/>
        </w:rPr>
        <w:t xml:space="preserve">Resell, frame, mirror, or operate the service as a service bureau for third parties; or</w:t>
      </w:r>
    </w:p>
    <w:p>
      <w:pPr>
        <w:pStyle w:val="ListParagraph"/>
        <w:numPr>
          <w:ilvl w:val="0"/>
          <w:numId w:val="2"/>
        </w:numPr>
        <w:spacing w:after="85"/>
        <w:jc w:val="both"/>
      </w:pPr>
      <w:r>
        <w:rPr>
          <w:b w:val="false"/>
          <w:bCs w:val="false"/>
        </w:rPr>
        <w:t xml:space="preserve">Access the service in order to build or benchmark a competing product or service.</w:t>
      </w:r>
    </w:p>
    <w:p>
      <w:pPr>
        <w:pStyle w:val="Heading1"/>
        <w:spacing w:after="85"/>
        <w:jc w:val="left"/>
      </w:pPr>
      <w:r>
        <w:rPr>
          <w:b w:val="false"/>
          <w:bCs w:val="false"/>
        </w:rPr>
        <w:t xml:space="preserve">07 — Acceptable use.</w:t>
      </w:r>
    </w:p>
    <w:p>
      <w:pPr>
        <w:spacing w:after="85"/>
        <w:jc w:val="both"/>
      </w:pPr>
      <w:r>
        <w:rPr>
          <w:b w:val="false"/>
          <w:bCs w:val="false"/>
        </w:rPr>
        <w:t xml:space="preserve">You agree not to use the service to:</w:t>
      </w:r>
    </w:p>
    <w:p>
      <w:pPr>
        <w:pStyle w:val="ListParagraph"/>
        <w:numPr>
          <w:ilvl w:val="0"/>
          <w:numId w:val="2"/>
        </w:numPr>
        <w:spacing w:after="85"/>
        <w:jc w:val="both"/>
      </w:pPr>
      <w:r>
        <w:rPr>
          <w:b w:val="false"/>
          <w:bCs w:val="false"/>
        </w:rPr>
        <w:t xml:space="preserve">Violate any applicable federal, state, or international laws, including the Personal Data Protection Act 2010 (PDPA), financial services laws, consumer protection regulations, and Shariah-compliance principles applicable to your business operations.</w:t>
      </w:r>
    </w:p>
    <w:p>
      <w:pPr>
        <w:pStyle w:val="ListParagraph"/>
        <w:numPr>
          <w:ilvl w:val="0"/>
          <w:numId w:val="2"/>
        </w:numPr>
        <w:spacing w:after="85"/>
        <w:jc w:val="both"/>
      </w:pPr>
      <w:r>
        <w:rPr>
          <w:b w:val="false"/>
          <w:bCs w:val="false"/>
        </w:rPr>
        <w:t xml:space="preserve">Upload or process personal data of individuals without proper legal bases, required notifications, or statutory consents.</w:t>
      </w:r>
    </w:p>
    <w:p>
      <w:pPr>
        <w:pStyle w:val="ListParagraph"/>
        <w:numPr>
          <w:ilvl w:val="0"/>
          <w:numId w:val="2"/>
        </w:numPr>
        <w:spacing w:after="85"/>
        <w:jc w:val="both"/>
      </w:pPr>
      <w:r>
        <w:rPr>
          <w:b w:val="false"/>
          <w:bCs w:val="false"/>
        </w:rPr>
        <w:t xml:space="preserve">Attempt to gain unauthorized access to any tenant data, restricted system areas, network layers, or underlying server infrastructure.</w:t>
      </w:r>
    </w:p>
    <w:p>
      <w:pPr>
        <w:pStyle w:val="ListParagraph"/>
        <w:numPr>
          <w:ilvl w:val="0"/>
          <w:numId w:val="2"/>
        </w:numPr>
        <w:spacing w:after="85"/>
        <w:jc w:val="both"/>
      </w:pPr>
      <w:r>
        <w:rPr>
          <w:b w:val="false"/>
          <w:bCs w:val="false"/>
        </w:rPr>
        <w:t xml:space="preserve">Circumvent rate limits, authentication barriers, or security controls, or launch denial-of-service attempts against the platform.</w:t>
      </w:r>
    </w:p>
    <w:p>
      <w:pPr>
        <w:pStyle w:val="ListParagraph"/>
        <w:numPr>
          <w:ilvl w:val="0"/>
          <w:numId w:val="2"/>
        </w:numPr>
        <w:spacing w:after="85"/>
        <w:jc w:val="both"/>
      </w:pPr>
      <w:r>
        <w:rPr>
          <w:b w:val="false"/>
          <w:bCs w:val="false"/>
        </w:rPr>
        <w:t xml:space="preserve">Use the platform to conduct unlawful financing, unauthorized deposit-taking, money laundering, or illegal trading activities.</w:t>
      </w:r>
    </w:p>
    <w:p>
      <w:pPr>
        <w:spacing w:after="85"/>
        <w:jc w:val="both"/>
      </w:pPr>
      <w:r>
        <w:rPr>
          <w:b w:val="false"/>
          <w:bCs w:val="false"/>
        </w:rPr>
        <w:t xml:space="preserve">We reserve the right to investigate suspected violations and take remedial action, including immediate account suspension under Section 09.</w:t>
      </w:r>
    </w:p>
    <w:p>
      <w:pPr>
        <w:pStyle w:val="Heading1"/>
        <w:spacing w:after="85"/>
        <w:jc w:val="left"/>
      </w:pPr>
      <w:r>
        <w:rPr>
          <w:b w:val="false"/>
          <w:bCs w:val="false"/>
        </w:rPr>
        <w:t xml:space="preserve">08 — Availability &amp; support.</w:t>
      </w:r>
    </w:p>
    <w:p>
      <w:pPr>
        <w:spacing w:after="85"/>
        <w:jc w:val="both"/>
      </w:pPr>
      <w:r>
        <w:rPr>
          <w:b w:val="false"/>
          <w:bCs w:val="false"/>
        </w:rPr>
        <w:t xml:space="preserve">We endeavor to provide reliable and consistent platform access, but the service is provided without formal Service Level Agreements (SLAs) or guaranteed uptime commitments. Routine maintenance will be scheduled outside standard business hours where feasible, with advance notification.</w:t>
      </w:r>
    </w:p>
    <w:p>
      <w:pPr>
        <w:spacing w:after="85"/>
        <w:jc w:val="both"/>
      </w:pPr>
      <w:r>
        <w:rPr>
          <w:b w:val="false"/>
          <w:bCs w:val="false"/>
        </w:rPr>
        <w:t xml:space="preserve">Customer support is provided on a reasonable-efforts basis through our designated in-app or electronic channels during standard business working days in Malaysia.</w:t>
      </w:r>
    </w:p>
    <w:p>
      <w:pPr>
        <w:pStyle w:val="Heading1"/>
        <w:spacing w:after="85"/>
        <w:jc w:val="left"/>
      </w:pPr>
      <w:r>
        <w:rPr>
          <w:b w:val="false"/>
          <w:bCs w:val="false"/>
        </w:rPr>
        <w:t xml:space="preserve">09 — Suspension &amp; termination.</w:t>
      </w:r>
    </w:p>
    <w:p>
      <w:pPr>
        <w:spacing w:after="85"/>
        <w:jc w:val="both"/>
      </w:pPr>
      <w:r>
        <w:rPr>
          <w:b w:val="false"/>
          <w:bCs w:val="false"/>
        </w:rPr>
        <w:t xml:space="preserve">We may suspend or restrict your access in the following circumstances. Payment-related action requires the written notice and full notice period in Section 04; for other grounds, we will provide written notice where practical:</w:t>
      </w:r>
    </w:p>
    <w:p>
      <w:pPr>
        <w:pStyle w:val="ListParagraph"/>
        <w:numPr>
          <w:ilvl w:val="0"/>
          <w:numId w:val="2"/>
        </w:numPr>
        <w:spacing w:after="85"/>
        <w:jc w:val="both"/>
      </w:pPr>
      <w:r>
        <w:rPr>
          <w:b w:val="false"/>
          <w:bCs w:val="false"/>
        </w:rPr>
        <w:t xml:space="preserve">An overdue amount remains unpaid after the seven (7) calendar-day written notice period specified in Section 04 has elapsed. That notice requirement applies to every payment-related suspension or restriction;</w:t>
      </w:r>
    </w:p>
    <w:p>
      <w:pPr>
        <w:pStyle w:val="ListParagraph"/>
        <w:numPr>
          <w:ilvl w:val="0"/>
          <w:numId w:val="2"/>
        </w:numPr>
        <w:spacing w:after="85"/>
        <w:jc w:val="both"/>
      </w:pPr>
      <w:r>
        <w:rPr>
          <w:b w:val="false"/>
          <w:bCs w:val="false"/>
        </w:rPr>
        <w:t xml:space="preserve">We reasonably determine that your use of the platform violates Section 07 (Acceptable Use) or poses an active security threat to our platform or other tenants; or</w:t>
      </w:r>
    </w:p>
    <w:p>
      <w:pPr>
        <w:pStyle w:val="ListParagraph"/>
        <w:numPr>
          <w:ilvl w:val="0"/>
          <w:numId w:val="2"/>
        </w:numPr>
        <w:spacing w:after="85"/>
        <w:jc w:val="both"/>
      </w:pPr>
      <w:r>
        <w:rPr>
          <w:b w:val="false"/>
          <w:bCs w:val="false"/>
        </w:rPr>
        <w:t xml:space="preserve">We are instructed to do so by a competent law enforcement agency, regulator, or court of competent jurisdiction.</w:t>
      </w:r>
    </w:p>
    <w:p>
      <w:pPr>
        <w:spacing w:after="85"/>
        <w:jc w:val="both"/>
      </w:pPr>
      <w:r>
        <w:rPr>
          <w:b w:val="false"/>
          <w:bCs w:val="false"/>
        </w:rPr>
        <w:t xml:space="preserve">Either party may terminate an active subscription by providing written notice in accordance with the billing cycle terms specified in your package. Either party may terminate these Terms immediately upon written notice if the other party commits a material breach of these Terms and fails to cure such breach within fourteen (14) calendar days of receiving written notice.</w:t>
      </w:r>
    </w:p>
    <w:p>
      <w:pPr>
        <w:pStyle w:val="Heading1"/>
        <w:spacing w:after="85"/>
        <w:jc w:val="left"/>
      </w:pPr>
      <w:r>
        <w:rPr>
          <w:b w:val="false"/>
          <w:bCs w:val="false"/>
        </w:rPr>
        <w:t xml:space="preserve">10 — Data on termination.</w:t>
      </w:r>
    </w:p>
    <w:p>
      <w:pPr>
        <w:spacing w:after="85"/>
        <w:jc w:val="both"/>
      </w:pPr>
      <w:r>
        <w:rPr>
          <w:b w:val="false"/>
          <w:bCs w:val="false"/>
        </w:rPr>
        <w:t xml:space="preserve">Upon termination of your subscription, all access rights granted under these Terms will terminate immediately.</w:t>
      </w:r>
    </w:p>
    <w:p>
      <w:pPr>
        <w:spacing w:after="85"/>
        <w:jc w:val="both"/>
      </w:pPr>
      <w:r>
        <w:rPr>
          <w:b w:val="false"/>
          <w:bCs w:val="false"/>
        </w:rPr>
        <w:t xml:space="preserve">Because the platform does not feature automated self-service bulk data export, you may request a manual export of your primary tabular Customer Data (provided in standard CSV format) by submitting a written support ticket within thirty (30) calendar days following the effective date of termination. We will make commercially reasonable efforts to deliver the export within twenty-one (21) business days of receiving your verified request.</w:t>
      </w:r>
    </w:p>
    <w:p>
      <w:pPr>
        <w:spacing w:after="85"/>
        <w:jc w:val="both"/>
      </w:pPr>
      <w:r>
        <w:rPr>
          <w:b w:val="false"/>
          <w:bCs w:val="false"/>
        </w:rPr>
        <w:t xml:space="preserve">Following this 30-day post-termination window, Customer Data will be securely deleted or overwritten in accordance with our data retention schedule, except where retention is strictly required by Malaysian statutory laws (including tax, audit, and employment record-keeping obligations).</w:t>
      </w:r>
    </w:p>
    <w:p>
      <w:pPr>
        <w:pStyle w:val="Heading1"/>
        <w:spacing w:after="85"/>
        <w:jc w:val="left"/>
      </w:pPr>
      <w:r>
        <w:rPr>
          <w:b w:val="false"/>
          <w:bCs w:val="false"/>
        </w:rPr>
        <w:t xml:space="preserve">11 — Disclaimers &amp; warranties.</w:t>
      </w:r>
    </w:p>
    <w:p>
      <w:pPr>
        <w:spacing w:after="85"/>
        <w:jc w:val="both"/>
      </w:pPr>
      <w:r>
        <w:rPr>
          <w:b w:val="false"/>
          <w:bCs w:val="false"/>
        </w:rPr>
        <w:t xml:space="preserve">Except as expressly stated in these Terms, the platform and all activated modules are provided strictly on an “as is” and “as available” basis. To the maximum extent permitted by Malaysian law:</w:t>
      </w:r>
    </w:p>
    <w:p>
      <w:pPr>
        <w:pStyle w:val="ListParagraph"/>
        <w:numPr>
          <w:ilvl w:val="0"/>
          <w:numId w:val="2"/>
        </w:numPr>
        <w:spacing w:after="85"/>
        <w:jc w:val="both"/>
      </w:pPr>
      <w:r>
        <w:rPr>
          <w:b w:val="false"/>
          <w:bCs w:val="false"/>
        </w:rPr>
        <w:t xml:space="preserve">General disclaimers: we disclaim all warranties, conditions, or representations of any kind, express, statutory, or implied, including warranties of merchantability, fitness for a particular purpose, non-infringement, and uninterrupted or error-free operation.</w:t>
      </w:r>
    </w:p>
    <w:p>
      <w:pPr>
        <w:pStyle w:val="ListParagraph"/>
        <w:numPr>
          <w:ilvl w:val="0"/>
          <w:numId w:val="2"/>
        </w:numPr>
        <w:spacing w:after="85"/>
        <w:jc w:val="both"/>
      </w:pPr>
      <w:r>
        <w:rPr>
          <w:b w:val="false"/>
          <w:bCs w:val="false"/>
        </w:rPr>
        <w:t xml:space="preserve">No regulated, fiduciary, or legal advice: The Managers PLT provides software workflows, calculation tools, and records management only. We do not provide banking, legal, financial, accounting, tax, or certified Shariah advisory services. You are solely responsible for ensuring that all payroll calculations, tax deductions, cooperative lending rates, Ar-Rahnu valuations, and precious metal transactions conducted through the software comply with governing statutory requirements and regulatory approvals.</w:t>
      </w:r>
    </w:p>
    <w:p>
      <w:pPr>
        <w:pStyle w:val="ListParagraph"/>
        <w:numPr>
          <w:ilvl w:val="0"/>
          <w:numId w:val="2"/>
        </w:numPr>
        <w:spacing w:after="85"/>
        <w:jc w:val="both"/>
      </w:pPr>
      <w:r>
        <w:rPr>
          <w:b w:val="false"/>
          <w:bCs w:val="false"/>
        </w:rPr>
        <w:t xml:space="preserve">AI &amp; automated features: features powered by Managers AI (MAi) or automated optical character recognition rely on probabilistic algorithms. We make no representations or warranties regarding the absolute accuracy, completeness, or suitability of outputs generated by automated tools.</w:t>
      </w:r>
    </w:p>
    <w:p>
      <w:pPr>
        <w:pStyle w:val="Heading1"/>
        <w:spacing w:after="85"/>
        <w:jc w:val="left"/>
      </w:pPr>
      <w:r>
        <w:rPr>
          <w:b w:val="false"/>
          <w:bCs w:val="false"/>
        </w:rPr>
        <w:t xml:space="preserve">12 — Limitation of liability.</w:t>
      </w:r>
    </w:p>
    <w:p>
      <w:pPr>
        <w:spacing w:after="85"/>
        <w:jc w:val="both"/>
      </w:pPr>
      <w:r>
        <w:rPr>
          <w:b w:val="false"/>
          <w:bCs w:val="false"/>
        </w:rPr>
        <w:t xml:space="preserve">To the maximum extent permitted by applicable law:</w:t>
      </w:r>
    </w:p>
    <w:p>
      <w:pPr>
        <w:pStyle w:val="ListParagraph"/>
        <w:numPr>
          <w:ilvl w:val="0"/>
          <w:numId w:val="2"/>
        </w:numPr>
        <w:spacing w:after="85"/>
        <w:jc w:val="both"/>
      </w:pPr>
      <w:r>
        <w:rPr>
          <w:b w:val="false"/>
          <w:bCs w:val="false"/>
        </w:rPr>
        <w:t xml:space="preserve">Waiver of consequential damages: neither party, nor The Managers PLT’s partners, licensors, officers, or employees, shall be liable to the other party for any indirect, consequential, incidental, special, or exemplary damages, including damages for loss of profits, loss of revenue, loss of business opportunity, loss of data, system downtime, or regulatory penalties, even if advised of the possibility of such losses.</w:t>
      </w:r>
    </w:p>
    <w:p>
      <w:pPr>
        <w:pStyle w:val="ListParagraph"/>
        <w:numPr>
          <w:ilvl w:val="0"/>
          <w:numId w:val="2"/>
        </w:numPr>
        <w:spacing w:after="85"/>
        <w:jc w:val="both"/>
      </w:pPr>
      <w:r>
        <w:rPr>
          <w:b w:val="false"/>
          <w:bCs w:val="false"/>
        </w:rPr>
        <w:t xml:space="preserve">Aggregate liability cap: the total aggregate liability of The Managers PLT arising out of or related to these Terms, the service, or any activated module, whether in contract, tort (including negligence), statutory breach, or otherwise, shall be strictly capped at the total subscription fees actually paid by you to The Managers PLT under these Terms during the twelve (12) months immediately preceding the event giving rise to liability.</w:t>
      </w:r>
    </w:p>
    <w:p>
      <w:pPr>
        <w:pStyle w:val="ListParagraph"/>
        <w:numPr>
          <w:ilvl w:val="0"/>
          <w:numId w:val="2"/>
        </w:numPr>
        <w:spacing w:after="85"/>
        <w:jc w:val="both"/>
      </w:pPr>
      <w:r>
        <w:rPr>
          <w:b w:val="false"/>
          <w:bCs w:val="false"/>
        </w:rPr>
        <w:t xml:space="preserve">Statutory exceptions: nothing in these Terms excludes or limits liability that cannot be excluded under Malaysian law, including liability for death or personal injury resulting directly from gross negligence, willful misconduct, or fraud.</w:t>
      </w:r>
    </w:p>
    <w:p>
      <w:pPr>
        <w:pStyle w:val="Heading1"/>
        <w:spacing w:after="85"/>
        <w:jc w:val="left"/>
      </w:pPr>
      <w:r>
        <w:rPr>
          <w:b w:val="false"/>
          <w:bCs w:val="false"/>
        </w:rPr>
        <w:t xml:space="preserve">13 — Indemnification.</w:t>
      </w:r>
    </w:p>
    <w:p>
      <w:pPr>
        <w:spacing w:after="85"/>
        <w:jc w:val="both"/>
      </w:pPr>
      <w:r>
        <w:rPr>
          <w:b w:val="false"/>
          <w:bCs w:val="false"/>
        </w:rPr>
        <w:t xml:space="preserve">Indemnification by Customer: you agree to defend, indemnify, and hold harmless The Managers PLT, its partners, officers, employees, and agents from and against all third-party claims, damages, liabilities, costs, and expenses (including reasonable legal fees) arising out of or resulting from:</w:t>
      </w:r>
    </w:p>
    <w:p>
      <w:pPr>
        <w:pStyle w:val="ListParagraph"/>
        <w:numPr>
          <w:ilvl w:val="0"/>
          <w:numId w:val="2"/>
        </w:numPr>
        <w:spacing w:after="85"/>
        <w:jc w:val="both"/>
      </w:pPr>
      <w:r>
        <w:rPr>
          <w:b w:val="false"/>
          <w:bCs w:val="false"/>
        </w:rPr>
        <w:t xml:space="preserve">Customer Data processed by the platform, including any claims alleging infringement of third-party intellectual property rights or violations of the Personal Data Protection Act 2010;</w:t>
      </w:r>
    </w:p>
    <w:p>
      <w:pPr>
        <w:pStyle w:val="ListParagraph"/>
        <w:numPr>
          <w:ilvl w:val="0"/>
          <w:numId w:val="2"/>
        </w:numPr>
        <w:spacing w:after="85"/>
        <w:jc w:val="both"/>
      </w:pPr>
      <w:r>
        <w:rPr>
          <w:b w:val="false"/>
          <w:bCs w:val="false"/>
        </w:rPr>
        <w:t xml:space="preserve">Your failure to secure mandatory statutory licenses, permits, or regulatory registrations needed to operate your business (including cooperative lending, pawnbroking, and financial activities); or</w:t>
      </w:r>
    </w:p>
    <w:p>
      <w:pPr>
        <w:pStyle w:val="ListParagraph"/>
        <w:numPr>
          <w:ilvl w:val="0"/>
          <w:numId w:val="2"/>
        </w:numPr>
        <w:spacing w:after="85"/>
        <w:jc w:val="both"/>
      </w:pPr>
      <w:r>
        <w:rPr>
          <w:b w:val="false"/>
          <w:bCs w:val="false"/>
        </w:rPr>
        <w:t xml:space="preserve">Any violation of Section 07 (Acceptable Use) by your users or administrators.</w:t>
      </w:r>
    </w:p>
    <w:p>
      <w:pPr>
        <w:spacing w:after="85"/>
        <w:jc w:val="both"/>
      </w:pPr>
      <w:r>
        <w:rPr>
          <w:b w:val="false"/>
          <w:bCs w:val="false"/>
        </w:rPr>
        <w:t xml:space="preserve">Indemnification by The Managers PLT: subject to the liability caps in Section 12, The Managers PLT will defend you against any third-party claim alleging that your authorized use of the core platform software directly infringes a registered copyright or patent enforceable in Malaysia, and will pay any damages finally awarded by a court of competent jurisdiction or agreed in a settlement approved by us, provided you:</w:t>
      </w:r>
    </w:p>
    <w:p>
      <w:pPr>
        <w:pStyle w:val="ListParagraph"/>
        <w:numPr>
          <w:ilvl w:val="0"/>
          <w:numId w:val="2"/>
        </w:numPr>
        <w:spacing w:after="85"/>
        <w:jc w:val="both"/>
      </w:pPr>
      <w:r>
        <w:rPr>
          <w:b w:val="false"/>
          <w:bCs w:val="false"/>
        </w:rPr>
        <w:t xml:space="preserve">Give us prompt written notice of the claim;</w:t>
      </w:r>
    </w:p>
    <w:p>
      <w:pPr>
        <w:pStyle w:val="ListParagraph"/>
        <w:numPr>
          <w:ilvl w:val="0"/>
          <w:numId w:val="2"/>
        </w:numPr>
        <w:spacing w:after="85"/>
        <w:jc w:val="both"/>
      </w:pPr>
      <w:r>
        <w:rPr>
          <w:b w:val="false"/>
          <w:bCs w:val="false"/>
        </w:rPr>
        <w:t xml:space="preserve">Grant us sole management and control of the defense and settlement; and</w:t>
      </w:r>
    </w:p>
    <w:p>
      <w:pPr>
        <w:pStyle w:val="ListParagraph"/>
        <w:numPr>
          <w:ilvl w:val="0"/>
          <w:numId w:val="2"/>
        </w:numPr>
        <w:spacing w:after="85"/>
        <w:jc w:val="both"/>
      </w:pPr>
      <w:r>
        <w:rPr>
          <w:b w:val="false"/>
          <w:bCs w:val="false"/>
        </w:rPr>
        <w:t xml:space="preserve">Provide reasonable cooperation at our expense.</w:t>
      </w:r>
    </w:p>
    <w:p>
      <w:pPr>
        <w:pStyle w:val="Heading1"/>
        <w:spacing w:after="85"/>
        <w:jc w:val="left"/>
      </w:pPr>
      <w:r>
        <w:rPr>
          <w:b w:val="false"/>
          <w:bCs w:val="false"/>
        </w:rPr>
        <w:t xml:space="preserve">14 — Confidentiality.</w:t>
      </w:r>
    </w:p>
    <w:p>
      <w:pPr>
        <w:spacing w:after="85"/>
        <w:jc w:val="both"/>
      </w:pPr>
      <w:r>
        <w:rPr>
          <w:b w:val="false"/>
          <w:bCs w:val="false"/>
        </w:rPr>
        <w:t xml:space="preserve">Each party (“Receiving Party”) agrees to treat all non-public technical, commercial, or operational information disclosed by the other party (“Disclosing Party”) as strictly confidential. The Receiving Party shall protect such information with the same degree of care it exercises over its own proprietary materials (and not less than reasonable care) and shall not disclose it except to its personnel, legal advisors, or contractors who need to know it for purposes of these Terms and who are bound by equivalent confidentiality duties.</w:t>
      </w:r>
    </w:p>
    <w:p>
      <w:pPr>
        <w:spacing w:after="85"/>
        <w:jc w:val="both"/>
      </w:pPr>
      <w:r>
        <w:rPr>
          <w:b w:val="false"/>
          <w:bCs w:val="false"/>
        </w:rPr>
        <w:t xml:space="preserve">Confidentiality obligations do not apply to information that is public through no fault of the Receiving Party, was already lawfully known, is independently developed, or is required to be disclosed by a court or administrative subpoena.</w:t>
      </w:r>
    </w:p>
    <w:p>
      <w:pPr>
        <w:pStyle w:val="Heading1"/>
        <w:spacing w:after="85"/>
        <w:jc w:val="left"/>
      </w:pPr>
      <w:r>
        <w:rPr>
          <w:b w:val="false"/>
          <w:bCs w:val="false"/>
        </w:rPr>
        <w:t xml:space="preserve">15 — Governing law &amp; dispute resolution.</w:t>
      </w:r>
    </w:p>
    <w:p>
      <w:pPr>
        <w:spacing w:after="85"/>
        <w:jc w:val="both"/>
      </w:pPr>
      <w:r>
        <w:rPr>
          <w:b w:val="false"/>
          <w:bCs w:val="false"/>
        </w:rPr>
        <w:t xml:space="preserve">These Terms and any non-contractual disputes arising out of them are governed by and construed under the laws of Malaysia.</w:t>
      </w:r>
    </w:p>
    <w:p>
      <w:pPr>
        <w:pStyle w:val="ListParagraph"/>
        <w:numPr>
          <w:ilvl w:val="0"/>
          <w:numId w:val="2"/>
        </w:numPr>
        <w:spacing w:after="85"/>
        <w:jc w:val="both"/>
      </w:pPr>
      <w:r>
        <w:rPr>
          <w:b w:val="false"/>
          <w:bCs w:val="false"/>
        </w:rPr>
        <w:t xml:space="preserve">Good-faith negotiation: prior to initiating any formal proceedings, the parties agree to seek an amicable resolution through good-faith discussions between executive representatives for at least thirty (30) calendar days from receipt of a written dispute notice.</w:t>
      </w:r>
    </w:p>
    <w:p>
      <w:pPr>
        <w:pStyle w:val="ListParagraph"/>
        <w:numPr>
          <w:ilvl w:val="0"/>
          <w:numId w:val="2"/>
        </w:numPr>
        <w:spacing w:after="85"/>
        <w:jc w:val="both"/>
      </w:pPr>
      <w:r>
        <w:rPr>
          <w:b w:val="false"/>
          <w:bCs w:val="false"/>
        </w:rPr>
        <w:t xml:space="preserve">Jurisdiction: if the dispute cannot be settled through informal negotiation, the parties irrevocably submit to the exclusive jurisdiction of the courts of Malaysia, with the initial venue established in Kuala Lumpur.</w:t>
      </w:r>
    </w:p>
    <w:p>
      <w:pPr>
        <w:pStyle w:val="Heading1"/>
        <w:spacing w:after="85"/>
        <w:jc w:val="left"/>
      </w:pPr>
      <w:r>
        <w:rPr>
          <w:b w:val="false"/>
          <w:bCs w:val="false"/>
        </w:rPr>
        <w:t xml:space="preserve">16 — Changes to these Terms.</w:t>
      </w:r>
    </w:p>
    <w:p>
      <w:pPr>
        <w:spacing w:after="85"/>
        <w:jc w:val="both"/>
      </w:pPr>
      <w:r>
        <w:rPr>
          <w:b w:val="false"/>
          <w:bCs w:val="false"/>
        </w:rPr>
        <w:t xml:space="preserve">We may update these Terms periodically to reflect product changes, technical infrastructure updates, or legal compliance developments. When revisions are made, we will post the updated agreement with an updated “Last reviewed” date and provide reasonable electronic notice (via in-app notification or email) of any material changes.</w:t>
      </w:r>
    </w:p>
    <w:p>
      <w:pPr>
        <w:spacing w:after="85"/>
        <w:jc w:val="both"/>
      </w:pPr>
      <w:r>
        <w:rPr>
          <w:b w:val="false"/>
          <w:bCs w:val="false"/>
        </w:rPr>
        <w:t xml:space="preserve">Your continued access or use of the platform after the updated Terms become effective constitutes acceptance of the modified terms.</w:t>
      </w:r>
    </w:p>
    <w:p>
      <w:pPr>
        <w:spacing w:after="85"/>
        <w:jc w:val="both"/>
      </w:pPr>
      <w:r>
        <w:rPr>
          <w:b w:val="false"/>
          <w:bCs w:val="false"/>
        </w:rPr>
        <w:t xml:space="preserve">Material changes to payment or recovery obligations will specify a prospective effective date in that notice and apply only after acceptance in accordance with applicable law. Newly introduced late-payment charges or recovery obligations do not apply to amounts that became overdue before that effective date without your express agreement.</w:t>
      </w:r>
    </w:p>
    <w:p>
      <w:pPr>
        <w:pStyle w:val="Heading1"/>
        <w:spacing w:after="85"/>
        <w:jc w:val="left"/>
      </w:pPr>
      <w:r>
        <w:rPr>
          <w:b w:val="false"/>
          <w:bCs w:val="false"/>
        </w:rPr>
        <w:t xml:space="preserve">17 — General provisions.</w:t>
      </w:r>
    </w:p>
    <w:p>
      <w:pPr>
        <w:spacing w:after="85"/>
        <w:jc w:val="both"/>
      </w:pPr>
      <w:r>
        <w:rPr>
          <w:b w:val="false"/>
          <w:bCs w:val="false"/>
        </w:rPr>
        <w:t xml:space="preserve">Severability: if any provision of these Terms is deemed invalid or unenforceable by a court of competent jurisdiction, that provision will be modified to reflect its original intent as closely as possible, and the remaining terms will remain in full force and effect.</w:t>
      </w:r>
    </w:p>
    <w:p>
      <w:pPr>
        <w:spacing w:after="85"/>
        <w:jc w:val="both"/>
      </w:pPr>
      <w:r>
        <w:rPr>
          <w:b w:val="false"/>
          <w:bCs w:val="false"/>
        </w:rPr>
        <w:t xml:space="preserve">Entire agreement: these Terms, the accepted order form, incorporating quotation or recorded online package selection, the identified Privacy Policy, and any expressly incorporated schedules constitute the subscription agreement, superseding prior discussions, proposals, or communications about the same subscription. Custom development, implementation or migration deliverables, and service-level commitments must be expressly agreed in an attached scope of work or service schedule.</w:t>
      </w:r>
    </w:p>
    <w:p>
      <w:pPr>
        <w:spacing w:after="85"/>
        <w:jc w:val="both"/>
      </w:pPr>
      <w:r>
        <w:rPr>
          <w:b w:val="false"/>
          <w:bCs w:val="false"/>
        </w:rPr>
        <w:t xml:space="preserve">Order of precedence: mandatory law applies first. An expressly agreed special term in the accepted order form or signed amendment overrides these Terms only where it identifies the provision being varied and the agreed replacement. The order form supplies the commercial details; a scope of work or service schedule governs its stated subject only. These Terms govern the remaining contract conditions. The Privacy Policy governs personal-data handling and does not create payment obligations. A purchase order or invoice does not alter this agreement unless both parties expressly accept the change in writing. Later changes are governed by Section 16.</w:t>
      </w:r>
    </w:p>
    <w:p>
      <w:pPr>
        <w:spacing w:after="85"/>
        <w:jc w:val="both"/>
      </w:pPr>
      <w:r>
        <w:rPr>
          <w:b w:val="false"/>
          <w:bCs w:val="false"/>
        </w:rPr>
        <w:t xml:space="preserve">Assignment: you may not assign or transfer your rights or obligations under these Terms without our prior written consent. We may assign these Terms without restriction in connection with a corporate reorganization, merger, acquisition, or sale of substantial assets.</w:t>
      </w:r>
    </w:p>
    <w:p>
      <w:pPr>
        <w:spacing w:after="85"/>
        <w:jc w:val="both"/>
      </w:pPr>
      <w:r>
        <w:rPr>
          <w:b w:val="false"/>
          <w:bCs w:val="false"/>
        </w:rPr>
        <w:t xml:space="preserve">No waiver: failure by either party to enforce any right or provision under these Terms shall not constitute a waiver of future enforcement of that right.</w:t>
      </w:r>
    </w:p>
    <w:p>
      <w:pPr>
        <w:pStyle w:val="Heading1"/>
        <w:spacing w:after="85"/>
        <w:jc w:val="left"/>
      </w:pPr>
      <w:r>
        <w:rPr>
          <w:b w:val="false"/>
          <w:bCs w:val="false"/>
        </w:rPr>
        <w:t xml:space="preserve">18 — Get in touch.</w:t>
      </w:r>
    </w:p>
    <w:p>
      <w:pPr>
        <w:spacing w:after="85"/>
        <w:jc w:val="both"/>
      </w:pPr>
      <w:r>
        <w:rPr>
          <w:b w:val="false"/>
          <w:bCs w:val="false"/>
        </w:rPr>
        <w:t xml:space="preserve">If you have questions regarding these Terms or need to deliver legal notices under this agreement, please contact us:</w:t>
      </w:r>
    </w:p>
    <w:p>
      <w:pPr>
        <w:spacing w:after="85"/>
        <w:jc w:val="both"/>
      </w:pPr>
      <w:r>
        <w:rPr>
          <w:b w:val="false"/>
          <w:bCs w:val="false"/>
        </w:rPr>
        <w:t xml:space="preserve">The Managers PLT (202604002475 / LLP0047719-LGN) Cyber 10, 63000 Cyberjaya, Selangor, Malaysia Electronic Helpdesk: </w:t>
      </w:r>
      <w:hyperlink w:history="1" r:id="rId-4hsw94jbr0hqx-a36tjx">
        <w:r>
          <w:rPr>
            <w:rStyle w:val="Hyperlink"/>
          </w:rPr>
          <w:t xml:space="preserve">themanagers.app/contact</w:t>
        </w:r>
      </w:hyperlink>
      <w:r>
        <w:rPr>
          <w:b w:val="false"/>
          <w:bCs w:val="false"/>
        </w:rPr>
        <w:t xml:space="preserve"> Legal Inquiries: </w:t>
      </w:r>
      <w:hyperlink w:history="1" r:id="rIdtf3ipveh6vkuzlhnrwwuc">
        <w:r>
          <w:rPr>
            <w:rStyle w:val="Hyperlink"/>
          </w:rPr>
          <w:t xml:space="preserve">legal@themanagers.app</w:t>
        </w:r>
      </w:hyperlink>
    </w:p>
    <w:p>
      <w:pPr>
        <w:pStyle w:val="Title"/>
        <w:pageBreakBefore/>
        <w:spacing w:after="85"/>
        <w:jc w:val="left"/>
      </w:pPr>
      <w:r>
        <w:rPr>
          <w:b w:val="false"/>
          <w:bCs w:val="false"/>
        </w:rPr>
        <w:t xml:space="preserve">Appendix B — Privacy Policy</w:t>
      </w:r>
    </w:p>
    <w:p>
      <w:pPr>
        <w:spacing w:after="85"/>
        <w:jc w:val="both"/>
      </w:pPr>
      <w:r>
        <w:rPr>
          <w:b w:val="false"/>
          <w:bCs w:val="false"/>
        </w:rPr>
        <w:t xml:space="preserve">Original effective date: 1 January 2026 | Last updated: 15 October 2026</w:t>
      </w:r>
    </w:p>
    <w:p>
      <w:pPr>
        <w:pStyle w:val="Heading1"/>
        <w:spacing w:after="85"/>
        <w:jc w:val="left"/>
      </w:pPr>
      <w:r>
        <w:rPr>
          <w:b w:val="false"/>
          <w:bCs w:val="false"/>
        </w:rPr>
        <w:t xml:space="preserve">01 — Who this policy applies to.</w:t>
      </w:r>
    </w:p>
    <w:p>
      <w:pPr>
        <w:spacing w:after="85"/>
        <w:jc w:val="both"/>
      </w:pPr>
      <w:r>
        <w:rPr>
          <w:b w:val="false"/>
          <w:bCs w:val="false"/>
        </w:rPr>
        <w:t xml:space="preserve">This Privacy Policy explains how TheManager (“we”, “us”, or “our”), operated by The Managers PLT (LLP Registration No. 202604002475 (LLP0047719-LGN)), collects, uses, stores, discloses, and protects personal data in compliance with Malaysia's Personal Data Protection Act 2010 (PDPA), as amended by the Personal Data Protection (Amendment) Act 2024, and applicable data protection regulations.</w:t>
      </w:r>
    </w:p>
    <w:p>
      <w:pPr>
        <w:spacing w:after="85"/>
        <w:jc w:val="both"/>
      </w:pPr>
      <w:r>
        <w:rPr>
          <w:b w:val="false"/>
          <w:bCs w:val="false"/>
        </w:rPr>
        <w:t xml:space="preserve">This Privacy Policy applies to personal data processed through themanagers.app and related subdomains, platforms, APIs, applications, and customer portal services (collectively, the “Platform”), including all enterprise modules: Human Resources, Finance &amp; Payroll, Procurement, Cooperative Management, Ar-Rahnu, Gold &amp; Silver Savings, Asset Management, Budgeting, Energy Management, E-Commerce, Travel &amp; Tourism, and Nutritionist Services.</w:t>
      </w:r>
    </w:p>
    <w:p>
      <w:pPr>
        <w:spacing w:after="85"/>
        <w:jc w:val="both"/>
      </w:pPr>
      <w:r>
        <w:rPr>
          <w:b w:val="false"/>
          <w:bCs w:val="false"/>
        </w:rPr>
        <w:t xml:space="preserve">It covers two distinct categories of data subjects:</w:t>
      </w:r>
    </w:p>
    <w:p>
      <w:pPr>
        <w:pStyle w:val="ListParagraph"/>
        <w:numPr>
          <w:ilvl w:val="0"/>
          <w:numId w:val="2"/>
        </w:numPr>
        <w:spacing w:after="85"/>
        <w:jc w:val="both"/>
      </w:pPr>
      <w:r>
        <w:rPr>
          <w:b w:val="false"/>
          <w:bCs w:val="false"/>
        </w:rPr>
        <w:t xml:space="preserve">Direct users &amp; website visitors: individuals browsing our corporate website, subscribing to communications, requesting product demonstrations, or managing direct commercial billing relationships with us.</w:t>
      </w:r>
    </w:p>
    <w:p>
      <w:pPr>
        <w:pStyle w:val="ListParagraph"/>
        <w:numPr>
          <w:ilvl w:val="0"/>
          <w:numId w:val="2"/>
        </w:numPr>
        <w:spacing w:after="85"/>
        <w:jc w:val="both"/>
      </w:pPr>
      <w:r>
        <w:rPr>
          <w:b w:val="false"/>
          <w:bCs w:val="false"/>
        </w:rPr>
        <w:t xml:space="preserve">Tenant end-users: employees, contractors, cooperative members, customers, or individuals whose information is submitted to, generated within, or processed through the Platform by our enterprise clients (“Tenants”).</w:t>
      </w:r>
    </w:p>
    <w:p>
      <w:pPr>
        <w:pStyle w:val="Heading1"/>
        <w:spacing w:after="85"/>
        <w:jc w:val="left"/>
      </w:pPr>
      <w:r>
        <w:rPr>
          <w:b w:val="false"/>
          <w:bCs w:val="false"/>
        </w:rPr>
        <w:t xml:space="preserve">02 — Data controller vs. data processor.</w:t>
      </w:r>
    </w:p>
    <w:p>
      <w:pPr>
        <w:spacing w:after="85"/>
        <w:jc w:val="both"/>
      </w:pPr>
      <w:r>
        <w:rPr>
          <w:b w:val="false"/>
          <w:bCs w:val="false"/>
        </w:rPr>
        <w:t xml:space="preserve">Under the Personal Data Protection Act 2010 (PDPA), legal rights and operational obligations depend on whether an entity determines the purpose and manner of processing.</w:t>
      </w:r>
    </w:p>
    <w:p>
      <w:pPr>
        <w:spacing w:after="85"/>
        <w:jc w:val="both"/>
      </w:pPr>
      <w:r>
        <w:rPr>
          <w:b w:val="false"/>
          <w:bCs w:val="false"/>
        </w:rPr>
        <w:t xml:space="preserve">Where TheManager is the Data User (Controller): we act as the Data User for personal data collected directly through our corporate website, marketing forms, demonstration requests, customer service inquiries, and the contractual billing and account management records maintained with our client organizations.</w:t>
      </w:r>
    </w:p>
    <w:p>
      <w:pPr>
        <w:spacing w:after="85"/>
        <w:jc w:val="both"/>
      </w:pPr>
      <w:r>
        <w:rPr>
          <w:b w:val="false"/>
          <w:bCs w:val="false"/>
        </w:rPr>
        <w:t xml:space="preserve">Where TheManager is the Data Processor: for personal data submitted, imported, or generated within a dedicated tenant workspace by an enterprise client (“Tenant”), the Tenant acts as the Data User. TheManager processes such records strictly as a Data Processor pursuant to documented instructions, subscription terms, and applicable Data Processing Addenda (DPA). Inquiries, access requests, or deletion notices regarding records held in a Tenant workspace must be directed to the respective Tenant organization.</w:t>
      </w:r>
    </w:p>
    <w:p>
      <w:pPr>
        <w:spacing w:after="85"/>
        <w:jc w:val="both"/>
      </w:pPr>
      <w:r>
        <w:rPr>
          <w:b w:val="false"/>
          <w:bCs w:val="false"/>
        </w:rPr>
        <w:t xml:space="preserve">Specialized platform capabilities:</w:t>
      </w:r>
    </w:p>
    <w:p>
      <w:pPr>
        <w:pStyle w:val="ListParagraph"/>
        <w:numPr>
          <w:ilvl w:val="0"/>
          <w:numId w:val="2"/>
        </w:numPr>
        <w:spacing w:after="85"/>
        <w:jc w:val="both"/>
      </w:pPr>
      <w:r>
        <w:rPr>
          <w:b w:val="false"/>
          <w:bCs w:val="false"/>
        </w:rPr>
        <w:t xml:space="preserve">Managers Artificial Intelligence (MAi): document ingestion, parsing, and workflow automation executed through our native intelligence framework, MAi, operate strictly as an automated processing service on behalf of the Tenant without appropriating customer records.</w:t>
      </w:r>
    </w:p>
    <w:p>
      <w:pPr>
        <w:pStyle w:val="ListParagraph"/>
        <w:numPr>
          <w:ilvl w:val="0"/>
          <w:numId w:val="2"/>
        </w:numPr>
        <w:spacing w:after="85"/>
        <w:jc w:val="both"/>
      </w:pPr>
      <w:r>
        <w:rPr>
          <w:b w:val="false"/>
          <w:bCs w:val="false"/>
        </w:rPr>
        <w:t xml:space="preserve">Payslip Verifier Portal: serves as a cryptographically verifiable channel to process verification requests initiated by authorized third parties (e.g., licensed banks or lending institutions). Verification actions rely on cryptographic security tokens generated with employer or employee authorization, with immutable verification logs maintained solely for compliance, fraud prevention, and audit validation.</w:t>
      </w:r>
    </w:p>
    <w:p>
      <w:pPr>
        <w:pStyle w:val="Heading1"/>
        <w:spacing w:after="85"/>
        <w:jc w:val="left"/>
      </w:pPr>
      <w:r>
        <w:rPr>
          <w:b w:val="false"/>
          <w:bCs w:val="false"/>
        </w:rPr>
        <w:t xml:space="preserve">03 — Personal data categories.</w:t>
      </w:r>
    </w:p>
    <w:p>
      <w:pPr>
        <w:spacing w:after="85"/>
        <w:jc w:val="both"/>
      </w:pPr>
      <w:r>
        <w:rPr>
          <w:b w:val="false"/>
          <w:bCs w:val="false"/>
        </w:rPr>
        <w:t xml:space="preserve">The categories of personal data collected depend on the specific modules and platform capabilities activated by the Tenant:</w:t>
      </w:r>
    </w:p>
    <w:p>
      <w:pPr>
        <w:pStyle w:val="ListParagraph"/>
        <w:numPr>
          <w:ilvl w:val="0"/>
          <w:numId w:val="2"/>
        </w:numPr>
        <w:spacing w:after="85"/>
        <w:jc w:val="both"/>
      </w:pPr>
      <w:r>
        <w:rPr>
          <w:b w:val="false"/>
          <w:bCs w:val="false"/>
        </w:rPr>
        <w:t xml:space="preserve">Identity &amp; demographic data: full legal name, National Registration Identity Card (NRIC) number, passport number, identity document images, date of birth, gender, nationality, and citizenship or Bumiputera status (where required for statutory compliance or cooperative reporting).</w:t>
      </w:r>
    </w:p>
    <w:p>
      <w:pPr>
        <w:pStyle w:val="ListParagraph"/>
        <w:numPr>
          <w:ilvl w:val="0"/>
          <w:numId w:val="2"/>
        </w:numPr>
        <w:spacing w:after="85"/>
        <w:jc w:val="both"/>
      </w:pPr>
      <w:r>
        <w:rPr>
          <w:b w:val="false"/>
          <w:bCs w:val="false"/>
        </w:rPr>
        <w:t xml:space="preserve">Contact data: residential address, billing address, business email address, personal email address, and telephone numbers.</w:t>
      </w:r>
    </w:p>
    <w:p>
      <w:pPr>
        <w:pStyle w:val="ListParagraph"/>
        <w:numPr>
          <w:ilvl w:val="0"/>
          <w:numId w:val="2"/>
        </w:numPr>
        <w:spacing w:after="85"/>
        <w:jc w:val="both"/>
      </w:pPr>
      <w:r>
        <w:rPr>
          <w:b w:val="false"/>
          <w:bCs w:val="false"/>
        </w:rPr>
        <w:t xml:space="preserve">Employment &amp; workplace data: employment history, job title, department, tax identification numbers, statutory fund identifiers (EPF, SOCSO, EIS), wage structures, and dependent details for statutory declarations.</w:t>
      </w:r>
    </w:p>
    <w:p>
      <w:pPr>
        <w:pStyle w:val="ListParagraph"/>
        <w:numPr>
          <w:ilvl w:val="0"/>
          <w:numId w:val="2"/>
        </w:numPr>
        <w:spacing w:after="85"/>
        <w:jc w:val="both"/>
      </w:pPr>
      <w:r>
        <w:rPr>
          <w:b w:val="false"/>
          <w:bCs w:val="false"/>
        </w:rPr>
        <w:t xml:space="preserve">Financial &amp; transaction data: bank account numbers, salary disbursements, cooperative shares, dividend histories, Ar-Rahnu collateral and pledge valuations, and Gold &amp; Silver physical/digital holdings.</w:t>
      </w:r>
    </w:p>
    <w:p>
      <w:pPr>
        <w:pStyle w:val="ListParagraph"/>
        <w:numPr>
          <w:ilvl w:val="0"/>
          <w:numId w:val="2"/>
        </w:numPr>
        <w:spacing w:after="85"/>
        <w:jc w:val="both"/>
      </w:pPr>
      <w:r>
        <w:rPr>
          <w:b w:val="false"/>
          <w:bCs w:val="false"/>
        </w:rPr>
        <w:t xml:space="preserve">eKYC &amp; verification data: identity credentials, live facial extraction records, and verification statuses collected for regulated modules.</w:t>
      </w:r>
    </w:p>
    <w:p>
      <w:pPr>
        <w:pStyle w:val="ListParagraph"/>
        <w:numPr>
          <w:ilvl w:val="0"/>
          <w:numId w:val="2"/>
        </w:numPr>
        <w:spacing w:after="85"/>
        <w:jc w:val="both"/>
      </w:pPr>
      <w:r>
        <w:rPr>
          <w:b w:val="false"/>
          <w:bCs w:val="false"/>
        </w:rPr>
        <w:t xml:space="preserve">Geofencing &amp; timekeeping data: precise or approximate GPS coordinates captured strictly upon clock-in/out events where location-based attendance tracking is explicitly enabled by the Tenant.</w:t>
      </w:r>
    </w:p>
    <w:p>
      <w:pPr>
        <w:pStyle w:val="ListParagraph"/>
        <w:numPr>
          <w:ilvl w:val="0"/>
          <w:numId w:val="2"/>
        </w:numPr>
        <w:spacing w:after="85"/>
        <w:jc w:val="both"/>
      </w:pPr>
      <w:r>
        <w:rPr>
          <w:b w:val="false"/>
          <w:bCs w:val="false"/>
        </w:rPr>
        <w:t xml:space="preserve">Authentication &amp; technical data: WebAuthn/FIDO2 passkey credentials (public keys only; raw biometric data never leaves your device), IP addresses, browser types, audit event metadata, and session identifiers.</w:t>
      </w:r>
    </w:p>
    <w:p>
      <w:pPr>
        <w:pStyle w:val="ListParagraph"/>
        <w:numPr>
          <w:ilvl w:val="0"/>
          <w:numId w:val="2"/>
        </w:numPr>
        <w:spacing w:after="85"/>
        <w:jc w:val="both"/>
      </w:pPr>
      <w:r>
        <w:rPr>
          <w:b w:val="false"/>
          <w:bCs w:val="false"/>
        </w:rPr>
        <w:t xml:space="preserve">Health &amp; wellness data: dietary logs, physical metrics, and nutritional records (processed strictly within the Nutritionist module).</w:t>
      </w:r>
    </w:p>
    <w:p>
      <w:pPr>
        <w:pStyle w:val="Heading1"/>
        <w:spacing w:after="85"/>
        <w:jc w:val="left"/>
      </w:pPr>
      <w:r>
        <w:rPr>
          <w:b w:val="false"/>
          <w:bCs w:val="false"/>
        </w:rPr>
        <w:t xml:space="preserve">04 — Sensitive personal data.</w:t>
      </w:r>
    </w:p>
    <w:p>
      <w:pPr>
        <w:spacing w:after="85"/>
        <w:jc w:val="both"/>
      </w:pPr>
      <w:r>
        <w:rPr>
          <w:b w:val="false"/>
          <w:bCs w:val="false"/>
        </w:rPr>
        <w:t xml:space="preserve">Section 40 of the PDPA defines sensitive personal data as information relating to physical or mental health, religious beliefs or other beliefs of a similar nature, the commission or alleged commission of an offence, or any other personal data determined by the Minister.</w:t>
      </w:r>
    </w:p>
    <w:p>
      <w:pPr>
        <w:spacing w:after="85"/>
        <w:jc w:val="both"/>
      </w:pPr>
      <w:r>
        <w:rPr>
          <w:b w:val="false"/>
          <w:bCs w:val="false"/>
        </w:rPr>
        <w:t xml:space="preserve">TheManager processes sensitive personal data only under explicit statutory conditions or where explicit consent has been recorded:</w:t>
      </w:r>
    </w:p>
    <w:p>
      <w:pPr>
        <w:pStyle w:val="ListParagraph"/>
        <w:numPr>
          <w:ilvl w:val="0"/>
          <w:numId w:val="2"/>
        </w:numPr>
        <w:spacing w:after="85"/>
        <w:jc w:val="both"/>
      </w:pPr>
      <w:r>
        <w:rPr>
          <w:b w:val="false"/>
          <w:bCs w:val="false"/>
        </w:rPr>
        <w:t xml:space="preserve">Health data: processed exclusively when Tenants or end-users interact with the Nutritionist or occupational health modules.</w:t>
      </w:r>
    </w:p>
    <w:p>
      <w:pPr>
        <w:pStyle w:val="ListParagraph"/>
        <w:numPr>
          <w:ilvl w:val="0"/>
          <w:numId w:val="2"/>
        </w:numPr>
        <w:spacing w:after="85"/>
        <w:jc w:val="both"/>
      </w:pPr>
      <w:r>
        <w:rPr>
          <w:b w:val="false"/>
          <w:bCs w:val="false"/>
        </w:rPr>
        <w:t xml:space="preserve">Religious or faith-based financial data: inferred or recorded through Islamic financial modules, including Ar-Rahnu, Zakat, Infaq, and Shariah-compliant cooperative financing products.</w:t>
      </w:r>
    </w:p>
    <w:p>
      <w:pPr>
        <w:spacing w:after="85"/>
        <w:jc w:val="both"/>
      </w:pPr>
      <w:r>
        <w:rPr>
          <w:b w:val="false"/>
          <w:bCs w:val="false"/>
        </w:rPr>
        <w:t xml:space="preserve">Tenants utilizing these modules are required to establish valid legal grounds and capture explicit end-user consent prior to uploading sensitive records into the Platform.</w:t>
      </w:r>
    </w:p>
    <w:p>
      <w:pPr>
        <w:pStyle w:val="Heading1"/>
        <w:spacing w:after="85"/>
        <w:jc w:val="left"/>
      </w:pPr>
      <w:r>
        <w:rPr>
          <w:b w:val="false"/>
          <w:bCs w:val="false"/>
        </w:rPr>
        <w:t xml:space="preserve">05 — Purposes of processing.</w:t>
      </w:r>
    </w:p>
    <w:p>
      <w:pPr>
        <w:spacing w:after="85"/>
        <w:jc w:val="both"/>
      </w:pPr>
      <w:r>
        <w:rPr>
          <w:b w:val="false"/>
          <w:bCs w:val="false"/>
        </w:rPr>
        <w:t xml:space="preserve">Personal data is collected, handled, and processed for the following specified operational and business purposes:</w:t>
      </w:r>
    </w:p>
    <w:p>
      <w:pPr>
        <w:pStyle w:val="ListParagraph"/>
        <w:numPr>
          <w:ilvl w:val="0"/>
          <w:numId w:val="2"/>
        </w:numPr>
        <w:spacing w:after="85"/>
        <w:jc w:val="both"/>
      </w:pPr>
      <w:r>
        <w:rPr>
          <w:b w:val="false"/>
          <w:bCs w:val="false"/>
        </w:rPr>
        <w:t xml:space="preserve">Delivering, maintaining, and supporting the specific business modules activated by the Tenant (including HR, Payroll, Accounting, Cooperative Management, Ar-Rahnu, and Asset Management).</w:t>
      </w:r>
    </w:p>
    <w:p>
      <w:pPr>
        <w:pStyle w:val="ListParagraph"/>
        <w:numPr>
          <w:ilvl w:val="0"/>
          <w:numId w:val="2"/>
        </w:numPr>
        <w:spacing w:after="85"/>
        <w:jc w:val="both"/>
      </w:pPr>
      <w:r>
        <w:rPr>
          <w:b w:val="false"/>
          <w:bCs w:val="false"/>
        </w:rPr>
        <w:t xml:space="preserve">Executing automated payroll distributions, statutory withholdings, and generating mandatory tax and regulatory filings (including LHDN, EPF, SOCSO, and EIS).</w:t>
      </w:r>
    </w:p>
    <w:p>
      <w:pPr>
        <w:pStyle w:val="ListParagraph"/>
        <w:numPr>
          <w:ilvl w:val="0"/>
          <w:numId w:val="2"/>
        </w:numPr>
        <w:spacing w:after="85"/>
        <w:jc w:val="both"/>
      </w:pPr>
      <w:r>
        <w:rPr>
          <w:b w:val="false"/>
          <w:bCs w:val="false"/>
        </w:rPr>
        <w:t xml:space="preserve">Facilitating eKYC identity verification and statutory compliance across regulated financial workflows.</w:t>
      </w:r>
    </w:p>
    <w:p>
      <w:pPr>
        <w:pStyle w:val="ListParagraph"/>
        <w:numPr>
          <w:ilvl w:val="0"/>
          <w:numId w:val="2"/>
        </w:numPr>
        <w:spacing w:after="85"/>
        <w:jc w:val="both"/>
      </w:pPr>
      <w:r>
        <w:rPr>
          <w:b w:val="false"/>
          <w:bCs w:val="false"/>
        </w:rPr>
        <w:t xml:space="preserve">Verifying workforce attendance records through configured, geofenced parameters when location-based tracking features are enabled by the Tenant.</w:t>
      </w:r>
    </w:p>
    <w:p>
      <w:pPr>
        <w:pStyle w:val="ListParagraph"/>
        <w:numPr>
          <w:ilvl w:val="0"/>
          <w:numId w:val="2"/>
        </w:numPr>
        <w:spacing w:after="85"/>
        <w:jc w:val="both"/>
      </w:pPr>
      <w:r>
        <w:rPr>
          <w:b w:val="false"/>
          <w:bCs w:val="false"/>
        </w:rPr>
        <w:t xml:space="preserve">Providing technical support, responding to inquiries, and managing enterprise client relationships.</w:t>
      </w:r>
    </w:p>
    <w:p>
      <w:pPr>
        <w:pStyle w:val="ListParagraph"/>
        <w:numPr>
          <w:ilvl w:val="0"/>
          <w:numId w:val="2"/>
        </w:numPr>
        <w:spacing w:after="85"/>
        <w:jc w:val="both"/>
      </w:pPr>
      <w:r>
        <w:rPr>
          <w:b w:val="false"/>
          <w:bCs w:val="false"/>
        </w:rPr>
        <w:t xml:space="preserve">Administering subscription billing, issuing overdue-payment notices, resolving billing disputes, and establishing, exercising, or defending legal claims to recover overdue amounts and any lawful late-payment charges or recovery costs. For these purposes we use only relevant billing-contact details, subscription agreements, invoices, payment records, and related correspondence, where permitted by applicable law.</w:t>
      </w:r>
    </w:p>
    <w:p>
      <w:pPr>
        <w:pStyle w:val="ListParagraph"/>
        <w:numPr>
          <w:ilvl w:val="0"/>
          <w:numId w:val="2"/>
        </w:numPr>
        <w:spacing w:after="85"/>
        <w:jc w:val="both"/>
      </w:pPr>
      <w:r>
        <w:rPr>
          <w:b w:val="false"/>
          <w:bCs w:val="false"/>
        </w:rPr>
        <w:t xml:space="preserve">Enforcing platform security, generating audit logs, detecting anomalies, and preventing unauthorized or fraudulent access.</w:t>
      </w:r>
    </w:p>
    <w:p>
      <w:pPr>
        <w:spacing w:after="85"/>
        <w:jc w:val="both"/>
      </w:pPr>
      <w:r>
        <w:rPr>
          <w:b w:val="false"/>
          <w:bCs w:val="false"/>
        </w:rPr>
        <w:t xml:space="preserve">Payment deadlines, late-payment charges, recovery costs, and payment-related suspension are governed by Section 04 of our </w:t>
      </w:r>
      <w:hyperlink w:history="1" r:id="rIdwelsfr6qhfuq-jv3ft4cz">
        <w:r>
          <w:rPr>
            <w:rStyle w:val="Hyperlink"/>
          </w:rPr>
          <w:t xml:space="preserve">Terms of Service</w:t>
        </w:r>
      </w:hyperlink>
      <w:r>
        <w:rPr>
          <w:b w:val="false"/>
          <w:bCs w:val="false"/>
        </w:rPr>
        <w:t xml:space="preserve"> and your agreed subscription package or order form. This Privacy Policy does not impose separate charges or a different payment or suspension deadline.</w:t>
      </w:r>
    </w:p>
    <w:p>
      <w:pPr>
        <w:spacing w:after="85"/>
        <w:jc w:val="both"/>
      </w:pPr>
      <w:r>
        <w:rPr>
          <w:b w:val="false"/>
          <w:bCs w:val="false"/>
        </w:rPr>
        <w:t xml:space="preserve">Managers Artificial Intelligence (MAi) governance: to streamline data entry, optical character recognition (OCR), document parsing, and business logic execution, the Platform utilizes Managers Artificial Intelligence (MAi). The operation of MAi is subject to the following principles:</w:t>
      </w:r>
    </w:p>
    <w:p>
      <w:pPr>
        <w:pStyle w:val="ListParagraph"/>
        <w:numPr>
          <w:ilvl w:val="0"/>
          <w:numId w:val="2"/>
        </w:numPr>
        <w:spacing w:after="85"/>
        <w:jc w:val="both"/>
      </w:pPr>
      <w:r>
        <w:rPr>
          <w:b w:val="false"/>
          <w:bCs w:val="false"/>
        </w:rPr>
        <w:t xml:space="preserve">Zero public model training: customer records, business documentation, uploaded receipts, identity credentials, and end-user data processed by MAi are never used to train, retrain, or improve public AI models or shared commercial foundation models.</w:t>
      </w:r>
    </w:p>
    <w:p>
      <w:pPr>
        <w:pStyle w:val="ListParagraph"/>
        <w:numPr>
          <w:ilvl w:val="0"/>
          <w:numId w:val="2"/>
        </w:numPr>
        <w:spacing w:after="85"/>
        <w:jc w:val="both"/>
      </w:pPr>
      <w:r>
        <w:rPr>
          <w:b w:val="false"/>
          <w:bCs w:val="false"/>
        </w:rPr>
        <w:t xml:space="preserve">Ephemeral &amp; isolated processing: data processed by MAi runs within secure, tenant-isolated execution environments. Data is retained only for the duration required to complete the specific automated extraction or processing task and is never cached for secondary use.</w:t>
      </w:r>
    </w:p>
    <w:p>
      <w:pPr>
        <w:pStyle w:val="ListParagraph"/>
        <w:numPr>
          <w:ilvl w:val="0"/>
          <w:numId w:val="2"/>
        </w:numPr>
        <w:spacing w:after="85"/>
        <w:jc w:val="both"/>
      </w:pPr>
      <w:r>
        <w:rPr>
          <w:b w:val="false"/>
          <w:bCs w:val="false"/>
        </w:rPr>
        <w:t xml:space="preserve">Human-in-the-loop verification: extracted data and automated recommendations produced by MAi are designed to be reviewed, verified, and confirmed by authorized Tenant personnel before being committed as permanent ledger or operational records.</w:t>
      </w:r>
    </w:p>
    <w:p>
      <w:pPr>
        <w:pStyle w:val="Heading1"/>
        <w:spacing w:after="85"/>
        <w:jc w:val="left"/>
      </w:pPr>
      <w:r>
        <w:rPr>
          <w:b w:val="false"/>
          <w:bCs w:val="false"/>
        </w:rPr>
        <w:t xml:space="preserve">06 — Legal grounds for processing.</w:t>
      </w:r>
    </w:p>
    <w:p>
      <w:pPr>
        <w:spacing w:after="85"/>
        <w:jc w:val="both"/>
      </w:pPr>
      <w:r>
        <w:rPr>
          <w:b w:val="false"/>
          <w:bCs w:val="false"/>
        </w:rPr>
        <w:t xml:space="preserve">We process personal data only when permitted by law under the PDPA:</w:t>
      </w:r>
    </w:p>
    <w:p>
      <w:pPr>
        <w:pStyle w:val="ListParagraph"/>
        <w:numPr>
          <w:ilvl w:val="0"/>
          <w:numId w:val="2"/>
        </w:numPr>
        <w:spacing w:after="85"/>
        <w:jc w:val="both"/>
      </w:pPr>
      <w:r>
        <w:rPr>
          <w:b w:val="false"/>
          <w:bCs w:val="false"/>
        </w:rPr>
        <w:t xml:space="preserve">Contractual necessity: to perform our obligations under enterprise subscription agreements or provide requested services.</w:t>
      </w:r>
    </w:p>
    <w:p>
      <w:pPr>
        <w:pStyle w:val="ListParagraph"/>
        <w:numPr>
          <w:ilvl w:val="0"/>
          <w:numId w:val="2"/>
        </w:numPr>
        <w:spacing w:after="85"/>
        <w:jc w:val="both"/>
      </w:pPr>
      <w:r>
        <w:rPr>
          <w:b w:val="false"/>
          <w:bCs w:val="false"/>
        </w:rPr>
        <w:t xml:space="preserve">Legal obligation: to satisfy statutory requirements, including employment, accounting, corporate, and tax regulations.</w:t>
      </w:r>
    </w:p>
    <w:p>
      <w:pPr>
        <w:pStyle w:val="ListParagraph"/>
        <w:numPr>
          <w:ilvl w:val="0"/>
          <w:numId w:val="2"/>
        </w:numPr>
        <w:spacing w:after="85"/>
        <w:jc w:val="both"/>
      </w:pPr>
      <w:r>
        <w:rPr>
          <w:b w:val="false"/>
          <w:bCs w:val="false"/>
        </w:rPr>
        <w:t xml:space="preserve">Consent: where individuals have explicitly agreed to processing, such as for marketing communications or optional application features.</w:t>
      </w:r>
    </w:p>
    <w:p>
      <w:pPr>
        <w:pStyle w:val="ListParagraph"/>
        <w:numPr>
          <w:ilvl w:val="0"/>
          <w:numId w:val="2"/>
        </w:numPr>
        <w:spacing w:after="85"/>
        <w:jc w:val="both"/>
      </w:pPr>
      <w:r>
        <w:rPr>
          <w:b w:val="false"/>
          <w:bCs w:val="false"/>
        </w:rPr>
        <w:t xml:space="preserve">Legitimate interests: to protect Platform infrastructure, prevent unauthorized access, mitigate fraud, and ensure service reliability.</w:t>
      </w:r>
    </w:p>
    <w:p>
      <w:pPr>
        <w:pStyle w:val="Heading1"/>
        <w:spacing w:after="85"/>
        <w:jc w:val="left"/>
      </w:pPr>
      <w:r>
        <w:rPr>
          <w:b w:val="false"/>
          <w:bCs w:val="false"/>
        </w:rPr>
        <w:t xml:space="preserve">07 — Third-party disclosures &amp; sub-processors.</w:t>
      </w:r>
    </w:p>
    <w:p>
      <w:pPr>
        <w:spacing w:after="85"/>
        <w:jc w:val="both"/>
      </w:pPr>
      <w:r>
        <w:rPr>
          <w:b w:val="false"/>
          <w:bCs w:val="false"/>
        </w:rPr>
        <w:t xml:space="preserve">TheManager does not sell, lease, monetize, or trade personal data to third parties for independent marketing or advertising purposes. We disclose data solely to authorized sub-processors and external entities necessary to operate the Platform:</w:t>
      </w:r>
    </w:p>
    <w:p>
      <w:pPr>
        <w:pStyle w:val="ListParagraph"/>
        <w:numPr>
          <w:ilvl w:val="0"/>
          <w:numId w:val="2"/>
        </w:numPr>
        <w:spacing w:after="85"/>
        <w:jc w:val="both"/>
      </w:pPr>
      <w:r>
        <w:rPr>
          <w:b w:val="false"/>
          <w:bCs w:val="false"/>
        </w:rPr>
        <w:t xml:space="preserve">Cloud infrastructure &amp; networking: Tier-1 enterprise cloud infrastructure, managed database systems, and content delivery/DDoS mitigation networks (including Amazon Web Services, Google Cloud Platform, and Cloudflare) operating under enterprise data processing terms.</w:t>
      </w:r>
    </w:p>
    <w:p>
      <w:pPr>
        <w:pStyle w:val="ListParagraph"/>
        <w:numPr>
          <w:ilvl w:val="0"/>
          <w:numId w:val="2"/>
        </w:numPr>
        <w:spacing w:after="85"/>
        <w:jc w:val="both"/>
      </w:pPr>
      <w:r>
        <w:rPr>
          <w:b w:val="false"/>
          <w:bCs w:val="false"/>
        </w:rPr>
        <w:t xml:space="preserve">Intelligent processing (MAi framework): cloud-hosted computational environments supporting MAi, bounded by strict zero-retention, non-training, and encrypted transmission commitments.</w:t>
      </w:r>
    </w:p>
    <w:p>
      <w:pPr>
        <w:pStyle w:val="ListParagraph"/>
        <w:numPr>
          <w:ilvl w:val="0"/>
          <w:numId w:val="2"/>
        </w:numPr>
        <w:spacing w:after="85"/>
        <w:jc w:val="both"/>
      </w:pPr>
      <w:r>
        <w:rPr>
          <w:b w:val="false"/>
          <w:bCs w:val="false"/>
        </w:rPr>
        <w:t xml:space="preserve">Payment &amp; financial gateways: licensed payment processors and settlement facilitators (including Stripe, Billplz, and ToyyibPay) to process transaction settlements and billing.</w:t>
      </w:r>
    </w:p>
    <w:p>
      <w:pPr>
        <w:pStyle w:val="ListParagraph"/>
        <w:numPr>
          <w:ilvl w:val="0"/>
          <w:numId w:val="2"/>
        </w:numPr>
        <w:spacing w:after="85"/>
        <w:jc w:val="both"/>
      </w:pPr>
      <w:r>
        <w:rPr>
          <w:b w:val="false"/>
          <w:bCs w:val="false"/>
        </w:rPr>
        <w:t xml:space="preserve">Legal advisers &amp; debt-recovery providers: where necessary and permitted by applicable law, we may disclose relevant billing-contact details, subscription agreements, invoices, payment records, and related correspondence to appointed solicitors, debt-collection providers, or competent courts for overdue-payment recovery or related legal claims. Disclosure is limited to information necessary for that purpose; unrelated tenant workspace records are not disclosed for debt recovery. Appointed service providers are subject to confidentiality and data-protection obligations.</w:t>
      </w:r>
    </w:p>
    <w:p>
      <w:pPr>
        <w:pStyle w:val="ListParagraph"/>
        <w:numPr>
          <w:ilvl w:val="0"/>
          <w:numId w:val="2"/>
        </w:numPr>
        <w:spacing w:after="85"/>
        <w:jc w:val="both"/>
      </w:pPr>
      <w:r>
        <w:rPr>
          <w:b w:val="false"/>
          <w:bCs w:val="false"/>
        </w:rPr>
        <w:t xml:space="preserve">Travel &amp; hospitality services: global distribution systems and travel inventory aggregators (including Amadeus and Duffel), strictly when the Travel &amp; Tourism module is provisioned by the Tenant.</w:t>
      </w:r>
    </w:p>
    <w:p>
      <w:pPr>
        <w:pStyle w:val="ListParagraph"/>
        <w:numPr>
          <w:ilvl w:val="0"/>
          <w:numId w:val="2"/>
        </w:numPr>
        <w:spacing w:after="85"/>
        <w:jc w:val="both"/>
      </w:pPr>
      <w:r>
        <w:rPr>
          <w:b w:val="false"/>
          <w:bCs w:val="false"/>
        </w:rPr>
        <w:t xml:space="preserve">Regulatory &amp; statutory authorities: government departments, statutory bodies, and enforcement agencies (such as LHDN, KWSP/EPF, PERKESO/SOCSO, Suruhanjaya Koperasi Malaysia, and Bank Negara Malaysia) solely where disclosure is mandated by Malaysian law or explicitly authorized by the Tenant.</w:t>
      </w:r>
    </w:p>
    <w:p>
      <w:pPr>
        <w:spacing w:after="85"/>
        <w:jc w:val="both"/>
      </w:pPr>
      <w:r>
        <w:rPr>
          <w:b w:val="false"/>
          <w:bCs w:val="false"/>
        </w:rPr>
        <w:t xml:space="preserve">All external service providers and sub-processors are bound by confidentiality obligations and are contractually required to implement technical and organizational security controls consistent with the PDPA.</w:t>
      </w:r>
    </w:p>
    <w:p>
      <w:pPr>
        <w:pStyle w:val="Heading1"/>
        <w:spacing w:after="85"/>
        <w:jc w:val="left"/>
      </w:pPr>
      <w:r>
        <w:rPr>
          <w:b w:val="false"/>
          <w:bCs w:val="false"/>
        </w:rPr>
        <w:t xml:space="preserve">08 — International data transfers.</w:t>
      </w:r>
    </w:p>
    <w:p>
      <w:pPr>
        <w:spacing w:after="85"/>
        <w:jc w:val="both"/>
      </w:pPr>
      <w:r>
        <w:rPr>
          <w:b w:val="false"/>
          <w:bCs w:val="false"/>
        </w:rPr>
        <w:t xml:space="preserve">To ensure high availability, multi-zone disaster recovery, and enterprise service continuity, personal data processed by the Platform may be stored or processed in secured cloud infrastructure located outside Malaysia, primarily within Singapore and other regional cloud facilities:</w:t>
      </w:r>
    </w:p>
    <w:p>
      <w:pPr>
        <w:pStyle w:val="ListParagraph"/>
        <w:numPr>
          <w:ilvl w:val="0"/>
          <w:numId w:val="2"/>
        </w:numPr>
        <w:spacing w:after="85"/>
        <w:jc w:val="both"/>
      </w:pPr>
      <w:r>
        <w:rPr>
          <w:b w:val="false"/>
          <w:bCs w:val="false"/>
        </w:rPr>
        <w:t xml:space="preserve">Compliance with Section 129 of the PDPA: all international data transfers comply with the provisions of Section 129 of the Personal Data Protection Act 2010 and the standards established under the Personal Data Protection (Amendment) Act 2024.</w:t>
      </w:r>
    </w:p>
    <w:p>
      <w:pPr>
        <w:pStyle w:val="ListParagraph"/>
        <w:numPr>
          <w:ilvl w:val="0"/>
          <w:numId w:val="2"/>
        </w:numPr>
        <w:spacing w:after="85"/>
        <w:jc w:val="both"/>
      </w:pPr>
      <w:r>
        <w:rPr>
          <w:b w:val="false"/>
          <w:bCs w:val="false"/>
        </w:rPr>
        <w:t xml:space="preserve">Safeguards &amp; adequacy: where personal data is transferred across borders, we ensure the receiving jurisdictions provide an adequate level of data protection substantially similar to that under the PDPA, or that the transfer is governed by enforceable contractual instruments, including Standard Contractual Clauses, binding data transfer agreements, end-to-end cryptographic safeguards, and continuous auditing rights.</w:t>
      </w:r>
    </w:p>
    <w:p>
      <w:pPr>
        <w:pStyle w:val="Heading1"/>
        <w:spacing w:after="85"/>
        <w:jc w:val="left"/>
      </w:pPr>
      <w:r>
        <w:rPr>
          <w:b w:val="false"/>
          <w:bCs w:val="false"/>
        </w:rPr>
        <w:t xml:space="preserve">09 — Data retention &amp; erasure.</w:t>
      </w:r>
    </w:p>
    <w:p>
      <w:pPr>
        <w:spacing w:after="85"/>
        <w:jc w:val="both"/>
      </w:pPr>
      <w:r>
        <w:rPr>
          <w:b w:val="false"/>
          <w:bCs w:val="false"/>
        </w:rPr>
        <w:t xml:space="preserve">Personal data is retained only for as long as necessary to fulfill the purposes for which it was collected, or to comply with statutory retention mandates:</w:t>
      </w:r>
    </w:p>
    <w:p>
      <w:pPr>
        <w:pStyle w:val="ListParagraph"/>
        <w:numPr>
          <w:ilvl w:val="0"/>
          <w:numId w:val="2"/>
        </w:numPr>
        <w:spacing w:after="85"/>
        <w:jc w:val="both"/>
      </w:pPr>
      <w:r>
        <w:rPr>
          <w:b w:val="false"/>
          <w:bCs w:val="false"/>
        </w:rPr>
        <w:t xml:space="preserve">Employment &amp; statutory payroll records: retained for a minimum of seven (7) years following the financial year to which they relate, in compliance with the Employment Act 1955, the Income Tax Act 1967, and statutory fund guidelines.</w:t>
      </w:r>
    </w:p>
    <w:p>
      <w:pPr>
        <w:pStyle w:val="ListParagraph"/>
        <w:numPr>
          <w:ilvl w:val="0"/>
          <w:numId w:val="2"/>
        </w:numPr>
        <w:spacing w:after="85"/>
        <w:jc w:val="both"/>
      </w:pPr>
      <w:r>
        <w:rPr>
          <w:b w:val="false"/>
          <w:bCs w:val="false"/>
        </w:rPr>
        <w:t xml:space="preserve">Payslip verification logs: maintained for seven (7) years to preserve audit chains for financial institutions and historical dispute resolution.</w:t>
      </w:r>
    </w:p>
    <w:p>
      <w:pPr>
        <w:pStyle w:val="ListParagraph"/>
        <w:numPr>
          <w:ilvl w:val="0"/>
          <w:numId w:val="2"/>
        </w:numPr>
        <w:spacing w:after="85"/>
        <w:jc w:val="both"/>
      </w:pPr>
      <w:r>
        <w:rPr>
          <w:b w:val="false"/>
          <w:bCs w:val="false"/>
        </w:rPr>
        <w:t xml:space="preserve">Financial &amp; cooperative records: maintained for seven (7) years in accordance with statutory accounting and audit regulations.</w:t>
      </w:r>
    </w:p>
    <w:p>
      <w:pPr>
        <w:pStyle w:val="ListParagraph"/>
        <w:numPr>
          <w:ilvl w:val="0"/>
          <w:numId w:val="2"/>
        </w:numPr>
        <w:spacing w:after="85"/>
        <w:jc w:val="both"/>
      </w:pPr>
      <w:r>
        <w:rPr>
          <w:b w:val="false"/>
          <w:bCs w:val="false"/>
        </w:rPr>
        <w:t xml:space="preserve">Session &amp; temporary files: cleared automatically upon transaction completion or cached for a maximum rolling window of thirty (30) days.</w:t>
      </w:r>
    </w:p>
    <w:p>
      <w:pPr>
        <w:spacing w:after="85"/>
        <w:jc w:val="both"/>
      </w:pPr>
      <w:r>
        <w:rPr>
          <w:b w:val="false"/>
          <w:bCs w:val="false"/>
        </w:rPr>
        <w:t xml:space="preserve">Upon contract termination or expiry of the statutory retention period, Tenant data is exported to the client organization and permanently erased from active production databases and backup archives in accordance with secure deletion standards.</w:t>
      </w:r>
    </w:p>
    <w:p>
      <w:pPr>
        <w:pStyle w:val="Heading1"/>
        <w:spacing w:after="85"/>
        <w:jc w:val="left"/>
      </w:pPr>
      <w:r>
        <w:rPr>
          <w:b w:val="false"/>
          <w:bCs w:val="false"/>
        </w:rPr>
        <w:t xml:space="preserve">10 — Security safeguards.</w:t>
      </w:r>
    </w:p>
    <w:p>
      <w:pPr>
        <w:spacing w:after="85"/>
        <w:jc w:val="both"/>
      </w:pPr>
      <w:r>
        <w:rPr>
          <w:b w:val="false"/>
          <w:bCs w:val="false"/>
        </w:rPr>
        <w:t xml:space="preserve">We implement defense-in-depth technical, organizational, and physical security measures, including:</w:t>
      </w:r>
    </w:p>
    <w:p>
      <w:pPr>
        <w:pStyle w:val="ListParagraph"/>
        <w:numPr>
          <w:ilvl w:val="0"/>
          <w:numId w:val="2"/>
        </w:numPr>
        <w:spacing w:after="85"/>
        <w:jc w:val="both"/>
      </w:pPr>
      <w:r>
        <w:rPr>
          <w:b w:val="false"/>
          <w:bCs w:val="false"/>
        </w:rPr>
        <w:t xml:space="preserve">Cryptographic controls: end-to-end encryption for data in transit (TLS 1.3) and robust encryption at rest using AES-256-GCM for sensitive fields and identity document vaults.</w:t>
      </w:r>
    </w:p>
    <w:p>
      <w:pPr>
        <w:pStyle w:val="ListParagraph"/>
        <w:numPr>
          <w:ilvl w:val="0"/>
          <w:numId w:val="2"/>
        </w:numPr>
        <w:spacing w:after="85"/>
        <w:jc w:val="both"/>
      </w:pPr>
      <w:r>
        <w:rPr>
          <w:b w:val="false"/>
          <w:bCs w:val="false"/>
        </w:rPr>
        <w:t xml:space="preserve">Logical tenant isolation: strict multi-tenant isolation enforced at the database and application layers, ensuring no cross-organization access.</w:t>
      </w:r>
    </w:p>
    <w:p>
      <w:pPr>
        <w:pStyle w:val="ListParagraph"/>
        <w:numPr>
          <w:ilvl w:val="0"/>
          <w:numId w:val="2"/>
        </w:numPr>
        <w:spacing w:after="85"/>
        <w:jc w:val="both"/>
      </w:pPr>
      <w:r>
        <w:rPr>
          <w:b w:val="false"/>
          <w:bCs w:val="false"/>
        </w:rPr>
        <w:t xml:space="preserve">Identity &amp; access management: Role-Based Access Control (RBAC), multi-factor authentication (MFA), and passwordless WebAuthn/FIDO2 passkey integration.</w:t>
      </w:r>
    </w:p>
    <w:p>
      <w:pPr>
        <w:pStyle w:val="ListParagraph"/>
        <w:numPr>
          <w:ilvl w:val="0"/>
          <w:numId w:val="2"/>
        </w:numPr>
        <w:spacing w:after="85"/>
        <w:jc w:val="both"/>
      </w:pPr>
      <w:r>
        <w:rPr>
          <w:b w:val="false"/>
          <w:bCs w:val="false"/>
        </w:rPr>
        <w:t xml:space="preserve">Tamper-evident auditing: cryptographically verifiable, immutable audit logging for all access, update, and administrative operations on sensitive financial and personal records.</w:t>
      </w:r>
    </w:p>
    <w:p>
      <w:pPr>
        <w:pStyle w:val="ListParagraph"/>
        <w:numPr>
          <w:ilvl w:val="0"/>
          <w:numId w:val="2"/>
        </w:numPr>
        <w:spacing w:after="85"/>
        <w:jc w:val="both"/>
      </w:pPr>
      <w:r>
        <w:rPr>
          <w:b w:val="false"/>
          <w:bCs w:val="false"/>
        </w:rPr>
        <w:t xml:space="preserve">Continuous monitoring: threat detection, regular vulnerability assessments, and code analysis within the delivery pipeline.</w:t>
      </w:r>
    </w:p>
    <w:p>
      <w:pPr>
        <w:pStyle w:val="Heading1"/>
        <w:spacing w:after="85"/>
        <w:jc w:val="left"/>
      </w:pPr>
      <w:r>
        <w:rPr>
          <w:b w:val="false"/>
          <w:bCs w:val="false"/>
        </w:rPr>
        <w:t xml:space="preserve">11 — Your data protection rights.</w:t>
      </w:r>
    </w:p>
    <w:p>
      <w:pPr>
        <w:spacing w:after="85"/>
        <w:jc w:val="both"/>
      </w:pPr>
      <w:r>
        <w:rPr>
          <w:b w:val="false"/>
          <w:bCs w:val="false"/>
        </w:rPr>
        <w:t xml:space="preserve">Subject to verification and statutory limitations under the PDPA and the 2024 Amendment Act, individuals possess the following rights:</w:t>
      </w:r>
    </w:p>
    <w:p>
      <w:pPr>
        <w:pStyle w:val="ListParagraph"/>
        <w:numPr>
          <w:ilvl w:val="0"/>
          <w:numId w:val="2"/>
        </w:numPr>
        <w:spacing w:after="85"/>
        <w:jc w:val="both"/>
      </w:pPr>
      <w:r>
        <w:rPr>
          <w:b w:val="false"/>
          <w:bCs w:val="false"/>
        </w:rPr>
        <w:t xml:space="preserve">Right of access: request a copy of the personal data held about you.</w:t>
      </w:r>
    </w:p>
    <w:p>
      <w:pPr>
        <w:pStyle w:val="ListParagraph"/>
        <w:numPr>
          <w:ilvl w:val="0"/>
          <w:numId w:val="2"/>
        </w:numPr>
        <w:spacing w:after="85"/>
        <w:jc w:val="both"/>
      </w:pPr>
      <w:r>
        <w:rPr>
          <w:b w:val="false"/>
          <w:bCs w:val="false"/>
        </w:rPr>
        <w:t xml:space="preserve">Right to correction: request correction of inaccurate, incomplete, or outdated personal data.</w:t>
      </w:r>
    </w:p>
    <w:p>
      <w:pPr>
        <w:pStyle w:val="ListParagraph"/>
        <w:numPr>
          <w:ilvl w:val="0"/>
          <w:numId w:val="2"/>
        </w:numPr>
        <w:spacing w:after="85"/>
        <w:jc w:val="both"/>
      </w:pPr>
      <w:r>
        <w:rPr>
          <w:b w:val="false"/>
          <w:bCs w:val="false"/>
        </w:rPr>
        <w:t xml:space="preserve">Right to withdraw consent: revoke previously granted consent for specific processing workflows.</w:t>
      </w:r>
    </w:p>
    <w:p>
      <w:pPr>
        <w:pStyle w:val="ListParagraph"/>
        <w:numPr>
          <w:ilvl w:val="0"/>
          <w:numId w:val="2"/>
        </w:numPr>
        <w:spacing w:after="85"/>
        <w:jc w:val="both"/>
      </w:pPr>
      <w:r>
        <w:rPr>
          <w:b w:val="false"/>
          <w:bCs w:val="false"/>
        </w:rPr>
        <w:t xml:space="preserve">Right to limit processing: restrict processing where data accuracy is contested or processing grounds are disputed.</w:t>
      </w:r>
    </w:p>
    <w:p>
      <w:pPr>
        <w:pStyle w:val="ListParagraph"/>
        <w:numPr>
          <w:ilvl w:val="0"/>
          <w:numId w:val="2"/>
        </w:numPr>
        <w:spacing w:after="85"/>
        <w:jc w:val="both"/>
      </w:pPr>
      <w:r>
        <w:rPr>
          <w:b w:val="false"/>
          <w:bCs w:val="false"/>
        </w:rPr>
        <w:t xml:space="preserve">Right to data portability: request transfer of your personal data in a structured, commonly used, and machine-readable format to another data user, subject to regulatory technical guidelines.</w:t>
      </w:r>
    </w:p>
    <w:p>
      <w:pPr>
        <w:pStyle w:val="ListParagraph"/>
        <w:numPr>
          <w:ilvl w:val="0"/>
          <w:numId w:val="2"/>
        </w:numPr>
        <w:spacing w:after="85"/>
        <w:jc w:val="both"/>
      </w:pPr>
      <w:r>
        <w:rPr>
          <w:b w:val="false"/>
          <w:bCs w:val="false"/>
        </w:rPr>
        <w:t xml:space="preserve">Right to prevent processing: object to processing likely to cause unwarranted substantial damage or distress.</w:t>
      </w:r>
    </w:p>
    <w:p>
      <w:pPr>
        <w:spacing w:after="85"/>
        <w:jc w:val="both"/>
      </w:pPr>
      <w:r>
        <w:rPr>
          <w:b w:val="false"/>
          <w:bCs w:val="false"/>
        </w:rPr>
        <w:t xml:space="preserve">How to exercise your rights: if your data is processed on behalf of an employer or organization using TheManager, please submit your request directly to your organization's system administrator. For personal data submitted directly to TheManager (e.g., website inquiries, direct enterprise accounts), submit requests to </w:t>
      </w:r>
      <w:hyperlink w:history="1" r:id="rId_lw4jyfqwotb4se8xunlc">
        <w:r>
          <w:rPr>
            <w:rStyle w:val="Hyperlink"/>
          </w:rPr>
          <w:t xml:space="preserve">privacy@themanagers.app</w:t>
        </w:r>
      </w:hyperlink>
      <w:r>
        <w:rPr>
          <w:b w:val="false"/>
          <w:bCs w:val="false"/>
        </w:rPr>
        <w:t xml:space="preserve"> .</w:t>
      </w:r>
    </w:p>
    <w:p>
      <w:pPr>
        <w:pStyle w:val="Heading1"/>
        <w:spacing w:after="85"/>
        <w:jc w:val="left"/>
      </w:pPr>
      <w:r>
        <w:rPr>
          <w:b w:val="false"/>
          <w:bCs w:val="false"/>
        </w:rPr>
        <w:t xml:space="preserve">12 — Data Protection Officer.</w:t>
      </w:r>
    </w:p>
    <w:p>
      <w:pPr>
        <w:spacing w:after="85"/>
        <w:jc w:val="both"/>
      </w:pPr>
      <w:r>
        <w:rPr>
          <w:b w:val="false"/>
          <w:bCs w:val="false"/>
        </w:rPr>
        <w:t xml:space="preserve">In accordance with the statutory requirements introduced by the Personal Data Protection (Amendment) Act 2024, TheManager has formally designated a Data Protection Officer to oversee compliance, manage data subject inquiries, and act as the liaison to regulatory authorities.</w:t>
      </w:r>
    </w:p>
    <w:p>
      <w:pPr>
        <w:spacing w:after="85"/>
        <w:jc w:val="both"/>
      </w:pPr>
      <w:r>
        <w:rPr>
          <w:b w:val="false"/>
          <w:bCs w:val="false"/>
        </w:rPr>
        <w:t xml:space="preserve">Designation: Data Protection Officer Email: </w:t>
      </w:r>
      <w:hyperlink w:history="1" r:id="rIddomh5wcttc2bospva_ku8">
        <w:r>
          <w:rPr>
            <w:rStyle w:val="Hyperlink"/>
          </w:rPr>
          <w:t xml:space="preserve">dpo@themanagers.app</w:t>
        </w:r>
      </w:hyperlink>
      <w:r>
        <w:rPr>
          <w:b w:val="false"/>
          <w:bCs w:val="false"/>
        </w:rPr>
        <w:t xml:space="preserve"> Address: The Managers PLT, Cyber 10, 63000 Cyberjaya, Selangor, Malaysia</w:t>
      </w:r>
    </w:p>
    <w:p>
      <w:pPr>
        <w:pStyle w:val="Heading1"/>
        <w:spacing w:after="85"/>
        <w:jc w:val="left"/>
      </w:pPr>
      <w:r>
        <w:rPr>
          <w:b w:val="false"/>
          <w:bCs w:val="false"/>
        </w:rPr>
        <w:t xml:space="preserve">13 — Data breach notification protocol.</w:t>
      </w:r>
    </w:p>
    <w:p>
      <w:pPr>
        <w:spacing w:after="85"/>
        <w:jc w:val="both"/>
      </w:pPr>
      <w:r>
        <w:rPr>
          <w:b w:val="false"/>
          <w:bCs w:val="false"/>
        </w:rPr>
        <w:t xml:space="preserve">In compliance with the mandatory breach notification requirements under the Personal Data Protection (Amendment) Act 2024:</w:t>
      </w:r>
    </w:p>
    <w:p>
      <w:pPr>
        <w:pStyle w:val="ListParagraph"/>
        <w:numPr>
          <w:ilvl w:val="0"/>
          <w:numId w:val="2"/>
        </w:numPr>
        <w:spacing w:after="85"/>
        <w:jc w:val="both"/>
      </w:pPr>
      <w:r>
        <w:rPr>
          <w:b w:val="false"/>
          <w:bCs w:val="false"/>
        </w:rPr>
        <w:t xml:space="preserve">Regulatory notification: where TheManager discovers an incident affecting personal data that has caused or is likely to cause significant harm, we will notify the Personal Data Protection Commissioner (Jabatan Perlindungan Data Peribadi / JPDP) within seventy-two (72) hours of becoming aware of the incident.</w:t>
      </w:r>
    </w:p>
    <w:p>
      <w:pPr>
        <w:pStyle w:val="ListParagraph"/>
        <w:numPr>
          <w:ilvl w:val="0"/>
          <w:numId w:val="2"/>
        </w:numPr>
        <w:spacing w:after="85"/>
        <w:jc w:val="both"/>
      </w:pPr>
      <w:r>
        <w:rPr>
          <w:b w:val="false"/>
          <w:bCs w:val="false"/>
        </w:rPr>
        <w:t xml:space="preserve">Tenant &amp; Data User notification: when acting as a Data Processor, TheManager will notify affected Tenant organizations without undue delay (within 24 to 48 hours) upon discovering a confirmed security incident, providing relevant details, impacted data scopes, and mitigation measures so Tenants can fulfill their statutory notification duties.</w:t>
      </w:r>
    </w:p>
    <w:p>
      <w:pPr>
        <w:pStyle w:val="ListParagraph"/>
        <w:numPr>
          <w:ilvl w:val="0"/>
          <w:numId w:val="2"/>
        </w:numPr>
        <w:spacing w:after="85"/>
        <w:jc w:val="both"/>
      </w:pPr>
      <w:r>
        <w:rPr>
          <w:b w:val="false"/>
          <w:bCs w:val="false"/>
        </w:rPr>
        <w:t xml:space="preserve">Data subject notification: affected individuals will be notified without unnecessary delay whenever a breach presents a high risk of adverse impact to their rights and freedoms.</w:t>
      </w:r>
    </w:p>
    <w:p>
      <w:pPr>
        <w:pStyle w:val="Heading1"/>
        <w:spacing w:after="85"/>
        <w:jc w:val="left"/>
      </w:pPr>
      <w:r>
        <w:rPr>
          <w:b w:val="false"/>
          <w:bCs w:val="false"/>
        </w:rPr>
        <w:t xml:space="preserve">14 — Cookies &amp; tracking technologies.</w:t>
      </w:r>
    </w:p>
    <w:p>
      <w:pPr>
        <w:spacing w:after="85"/>
        <w:jc w:val="both"/>
      </w:pPr>
      <w:r>
        <w:rPr>
          <w:b w:val="false"/>
          <w:bCs w:val="false"/>
        </w:rPr>
        <w:t xml:space="preserve">The Platform uses cookies and localized browser storage (such as Web Storage tokens) strictly necessary for system functionality, session management, and authentication security (e.g., preserving encrypted session state and CSRF tokens).</w:t>
      </w:r>
    </w:p>
    <w:p>
      <w:pPr>
        <w:spacing w:after="85"/>
        <w:jc w:val="both"/>
      </w:pPr>
      <w:r>
        <w:rPr>
          <w:b w:val="false"/>
          <w:bCs w:val="false"/>
        </w:rPr>
        <w:t xml:space="preserve">We do not deploy invasive third-party cross-site advertising trackers or sell browsing data. Detailed tracking preference controls are available within account profile settings where operational analytics are enabled.</w:t>
      </w:r>
    </w:p>
    <w:p>
      <w:pPr>
        <w:pStyle w:val="Heading1"/>
        <w:spacing w:after="85"/>
        <w:jc w:val="left"/>
      </w:pPr>
      <w:r>
        <w:rPr>
          <w:b w:val="false"/>
          <w:bCs w:val="false"/>
        </w:rPr>
        <w:t xml:space="preserve">15 — Protection of minors.</w:t>
      </w:r>
    </w:p>
    <w:p>
      <w:pPr>
        <w:spacing w:after="85"/>
        <w:jc w:val="both"/>
      </w:pPr>
      <w:r>
        <w:rPr>
          <w:b w:val="false"/>
          <w:bCs w:val="false"/>
        </w:rPr>
        <w:t xml:space="preserve">The Platform is an enterprise business software suite not intended for use by persons under eighteen (18) years of age. Where Tenant organizations record dependent data (such as children's names and identification for tax or health benefit declarations), such records are processed strictly under the directive and lawful responsibility of the employing Tenant organization.</w:t>
      </w:r>
    </w:p>
    <w:p>
      <w:pPr>
        <w:pStyle w:val="Heading1"/>
        <w:spacing w:after="85"/>
        <w:jc w:val="left"/>
      </w:pPr>
      <w:r>
        <w:rPr>
          <w:b w:val="false"/>
          <w:bCs w:val="false"/>
        </w:rPr>
        <w:t xml:space="preserve">16 — Policy amendments.</w:t>
      </w:r>
    </w:p>
    <w:p>
      <w:pPr>
        <w:spacing w:after="85"/>
        <w:jc w:val="both"/>
      </w:pPr>
      <w:r>
        <w:rPr>
          <w:b w:val="false"/>
          <w:bCs w:val="false"/>
        </w:rPr>
        <w:t xml:space="preserve">We may revise this Privacy Policy periodically to reflect technological changes, product updates, or amendments to statutory laws. Any modifications will be posted to this page with an updated “Last updated” timestamp. For material changes affecting Tenant data processing terms, advance notification will be delivered via administrative dashboards or direct email correspondence.</w:t>
      </w:r>
    </w:p>
    <w:p>
      <w:pPr>
        <w:pStyle w:val="Heading1"/>
        <w:spacing w:after="85"/>
        <w:jc w:val="left"/>
      </w:pPr>
      <w:r>
        <w:rPr>
          <w:b w:val="false"/>
          <w:bCs w:val="false"/>
        </w:rPr>
        <w:t xml:space="preserve">17 — Contact us.</w:t>
      </w:r>
    </w:p>
    <w:p>
      <w:pPr>
        <w:spacing w:after="85"/>
        <w:jc w:val="both"/>
      </w:pPr>
      <w:r>
        <w:rPr>
          <w:b w:val="false"/>
          <w:bCs w:val="false"/>
        </w:rPr>
        <w:t xml:space="preserve">For questions, feedback, or requests regarding this Privacy Policy or our security architecture, contact us via:</w:t>
      </w:r>
    </w:p>
    <w:p>
      <w:pPr>
        <w:spacing w:after="85"/>
        <w:jc w:val="both"/>
      </w:pPr>
      <w:r>
        <w:rPr>
          <w:b w:val="false"/>
          <w:bCs w:val="false"/>
        </w:rPr>
        <w:t xml:space="preserve">Data Protection &amp; Legal Team: </w:t>
      </w:r>
      <w:hyperlink w:history="1" r:id="rIdtxwssx1pggoacvaxuvtop">
        <w:r>
          <w:rPr>
            <w:rStyle w:val="Hyperlink"/>
          </w:rPr>
          <w:t xml:space="preserve">privacy@themanagers.app</w:t>
        </w:r>
      </w:hyperlink>
      <w:r>
        <w:rPr>
          <w:b w:val="false"/>
          <w:bCs w:val="false"/>
        </w:rPr>
        <w:t xml:space="preserve"> Support &amp; Sales Inquiries: </w:t>
      </w:r>
      <w:hyperlink w:history="1" r:id="rIdasnhxphabjn6-ie2wyvlq">
        <w:r>
          <w:rPr>
            <w:rStyle w:val="Hyperlink"/>
          </w:rPr>
          <w:t xml:space="preserve">themanagers.app/contact</w:t>
        </w:r>
      </w:hyperlink>
      <w:r>
        <w:rPr>
          <w:b w:val="false"/>
          <w:bCs w:val="false"/>
        </w:rPr>
        <w:t xml:space="preserve"> Registered Address: The Managers PLT (202604002475 / LLP0047719-LGN), Cyber 10, 63000 Cyberjaya, Selangor, Malaysia</w:t>
      </w:r>
    </w:p>
    <w:sectPr>
      <w:footerReference w:type="default" r:id="rId7"/>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The Managers PLT | Subscription package | 15 October 2026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140" w:before="0"/>
    </w:pPr>
    <w:rPr>
      <w:b/>
      <w:bCs/>
      <w:color w:val="172B4D"/>
      <w:sz w:val="32"/>
      <w:szCs w:val="32"/>
    </w:rPr>
  </w:style>
  <w:style w:type="paragraph" w:styleId="Heading1">
    <w:name w:val="Heading 1"/>
    <w:basedOn w:val="Normal"/>
    <w:next w:val="Normal"/>
    <w:qFormat/>
    <w:pPr>
      <w:keepNext/>
      <w:spacing w:after="85" w:before="140"/>
      <w:outlineLvl w:val="0"/>
    </w:pPr>
    <w:rPr>
      <w:b/>
      <w:bCs/>
      <w:color w:val="172B4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0jd6emzyja88lyj3cfi" Type="http://schemas.openxmlformats.org/officeDocument/2006/relationships/hyperlink" Target="https://themanagers.app/legal/privacy" TargetMode="External"/><Relationship Id="rId-4hsw94jbr0hqx-a36tjx" Type="http://schemas.openxmlformats.org/officeDocument/2006/relationships/hyperlink" Target="https://themanagers.app/contact" TargetMode="External"/><Relationship Id="rIdtf3ipveh6vkuzlhnrwwuc" Type="http://schemas.openxmlformats.org/officeDocument/2006/relationships/hyperlink" Target="mailto:legal@themanagers.app" TargetMode="External"/><Relationship Id="rIdwelsfr6qhfuq-jv3ft4cz" Type="http://schemas.openxmlformats.org/officeDocument/2006/relationships/hyperlink" Target="https://themanagers.app/legal/terms" TargetMode="External"/><Relationship Id="rId_lw4jyfqwotb4se8xunlc" Type="http://schemas.openxmlformats.org/officeDocument/2006/relationships/hyperlink" Target="mailto:privacy@themanagers.app" TargetMode="External"/><Relationship Id="rIddomh5wcttc2bospva_ku8" Type="http://schemas.openxmlformats.org/officeDocument/2006/relationships/hyperlink" Target="mailto:dpo@themanagers.app" TargetMode="External"/><Relationship Id="rIdtxwssx1pggoacvaxuvtop" Type="http://schemas.openxmlformats.org/officeDocument/2006/relationships/hyperlink" Target="mailto:privacy@themanagers.app" TargetMode="External"/><Relationship Id="rIdasnhxphabjn6-ie2wyvlq" Type="http://schemas.openxmlformats.org/officeDocument/2006/relationships/hyperlink" Target="https://themanagers.app/contac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TheManager Client Subscription Package</dc:title>
  <dc:creator>The Managers PLT</dc:creator>
  <dc:description>Editable order form with dated Terms of Service and Privacy Policy appendices.</dc:description>
  <cp:lastModifiedBy>Un-named</cp:lastModifiedBy>
  <cp:revision>1</cp:revision>
  <dcterms:created xsi:type="dcterms:W3CDTF">2026-10-15T14:03:42.347Z</dcterms:created>
  <dcterms:modified xsi:type="dcterms:W3CDTF">2026-10-15T14:03:42.348Z</dcterms:modified>
</cp:coreProperties>
</file>

<file path=docProps/custom.xml><?xml version="1.0" encoding="utf-8"?>
<Properties xmlns="http://schemas.openxmlformats.org/officeDocument/2006/custom-properties" xmlns:vt="http://schemas.openxmlformats.org/officeDocument/2006/docPropsVTypes"/>
</file>